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F07" w:rsidRPr="00A67F90" w:rsidRDefault="00FC2EB4" w:rsidP="00287EF8">
      <w:pPr>
        <w:spacing w:after="0"/>
        <w:ind w:left="-567" w:right="-23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67F90">
        <w:rPr>
          <w:rFonts w:ascii="Times New Roman" w:hAnsi="Times New Roman" w:cs="Times New Roman"/>
          <w:b/>
          <w:sz w:val="28"/>
          <w:szCs w:val="28"/>
        </w:rPr>
        <w:t>АНКЕТА</w:t>
      </w:r>
    </w:p>
    <w:p w:rsidR="00FC2EB4" w:rsidRDefault="00FC2EB4" w:rsidP="00287EF8">
      <w:pPr>
        <w:spacing w:after="0"/>
        <w:ind w:left="-567" w:right="-2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7F90">
        <w:rPr>
          <w:rFonts w:ascii="Times New Roman" w:hAnsi="Times New Roman" w:cs="Times New Roman"/>
          <w:b/>
          <w:sz w:val="28"/>
          <w:szCs w:val="28"/>
        </w:rPr>
        <w:t>Індекс безбар’єрності територіальної громади</w:t>
      </w:r>
    </w:p>
    <w:p w:rsidR="00D82CF6" w:rsidRPr="00A44BA8" w:rsidRDefault="00A44BA8" w:rsidP="00287EF8">
      <w:pPr>
        <w:spacing w:after="0"/>
        <w:ind w:left="-567" w:right="-234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44BA8">
        <w:rPr>
          <w:rFonts w:ascii="Times New Roman" w:hAnsi="Times New Roman" w:cs="Times New Roman"/>
          <w:i/>
          <w:sz w:val="28"/>
          <w:szCs w:val="28"/>
          <w:u w:val="single"/>
        </w:rPr>
        <w:t xml:space="preserve">Тростянецька селищна </w:t>
      </w:r>
      <w:r w:rsidR="00C55981">
        <w:rPr>
          <w:rFonts w:ascii="Times New Roman" w:hAnsi="Times New Roman" w:cs="Times New Roman"/>
          <w:i/>
          <w:sz w:val="28"/>
          <w:szCs w:val="28"/>
          <w:u w:val="single"/>
        </w:rPr>
        <w:t>териториторіальна громада</w:t>
      </w:r>
      <w:r w:rsidR="00D82CF6" w:rsidRPr="00A44BA8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</w:p>
    <w:p w:rsidR="00A67F90" w:rsidRPr="000138C6" w:rsidRDefault="00D82CF6" w:rsidP="00287EF8">
      <w:pPr>
        <w:spacing w:after="0"/>
        <w:ind w:left="-567" w:right="-234"/>
        <w:jc w:val="center"/>
        <w:rPr>
          <w:rFonts w:ascii="Times New Roman" w:hAnsi="Times New Roman" w:cs="Times New Roman"/>
          <w:sz w:val="20"/>
          <w:szCs w:val="20"/>
        </w:rPr>
      </w:pPr>
      <w:r w:rsidRPr="000138C6">
        <w:rPr>
          <w:rFonts w:ascii="Times New Roman" w:hAnsi="Times New Roman" w:cs="Times New Roman"/>
          <w:sz w:val="20"/>
          <w:szCs w:val="20"/>
        </w:rPr>
        <w:t>(назва територіальної громади, область</w:t>
      </w:r>
      <w:r w:rsidR="000138C6">
        <w:rPr>
          <w:rFonts w:ascii="Times New Roman" w:hAnsi="Times New Roman" w:cs="Times New Roman"/>
          <w:sz w:val="20"/>
          <w:szCs w:val="20"/>
        </w:rPr>
        <w:t>/м. Київ</w:t>
      </w:r>
      <w:r w:rsidRPr="000138C6">
        <w:rPr>
          <w:rFonts w:ascii="Times New Roman" w:hAnsi="Times New Roman" w:cs="Times New Roman"/>
          <w:sz w:val="20"/>
          <w:szCs w:val="20"/>
        </w:rPr>
        <w:t>)</w:t>
      </w:r>
    </w:p>
    <w:p w:rsidR="00B20385" w:rsidRPr="00A67F90" w:rsidRDefault="00B20385" w:rsidP="00287EF8">
      <w:pPr>
        <w:spacing w:after="0"/>
        <w:ind w:left="-567" w:right="-234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67F90">
        <w:rPr>
          <w:rFonts w:ascii="Times New Roman" w:hAnsi="Times New Roman" w:cs="Times New Roman"/>
          <w:i/>
          <w:sz w:val="24"/>
          <w:szCs w:val="24"/>
        </w:rPr>
        <w:t xml:space="preserve">Шановні представники </w:t>
      </w:r>
      <w:r w:rsidR="00A67F90">
        <w:rPr>
          <w:rFonts w:ascii="Times New Roman" w:hAnsi="Times New Roman" w:cs="Times New Roman"/>
          <w:i/>
          <w:sz w:val="24"/>
          <w:szCs w:val="24"/>
        </w:rPr>
        <w:t xml:space="preserve">територіальної </w:t>
      </w:r>
      <w:r w:rsidRPr="00A67F90">
        <w:rPr>
          <w:rFonts w:ascii="Times New Roman" w:hAnsi="Times New Roman" w:cs="Times New Roman"/>
          <w:i/>
          <w:sz w:val="24"/>
          <w:szCs w:val="24"/>
        </w:rPr>
        <w:t>громади!</w:t>
      </w:r>
    </w:p>
    <w:p w:rsidR="00B20385" w:rsidRPr="00A67F90" w:rsidRDefault="00B20385" w:rsidP="00287EF8">
      <w:pPr>
        <w:spacing w:after="0"/>
        <w:ind w:left="-567" w:right="-23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 xml:space="preserve">З метою встановлення рівня доступності у вашій громаді просимо вас надати відповідь на наведені нижче запитання. </w:t>
      </w:r>
    </w:p>
    <w:p w:rsidR="00B20385" w:rsidRPr="00A67F90" w:rsidRDefault="00B20385" w:rsidP="00287EF8">
      <w:pPr>
        <w:spacing w:after="0"/>
        <w:ind w:left="-567" w:right="-23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>Звертаємо вашу увагу, що запитання сформульовані у вигляді тез, які вам потрібно:</w:t>
      </w:r>
    </w:p>
    <w:p w:rsidR="00B20385" w:rsidRPr="00A67F90" w:rsidRDefault="00B20385" w:rsidP="00287EF8">
      <w:pPr>
        <w:spacing w:after="0"/>
        <w:ind w:left="-567" w:right="-23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>1) або оцінити</w:t>
      </w:r>
      <w:r w:rsidR="00402B0B">
        <w:rPr>
          <w:rFonts w:ascii="Times New Roman" w:hAnsi="Times New Roman" w:cs="Times New Roman"/>
          <w:sz w:val="24"/>
          <w:szCs w:val="24"/>
        </w:rPr>
        <w:t xml:space="preserve"> та обрати із запропонованих</w:t>
      </w:r>
      <w:r w:rsidR="003B7B00">
        <w:rPr>
          <w:rFonts w:ascii="Times New Roman" w:hAnsi="Times New Roman" w:cs="Times New Roman"/>
          <w:sz w:val="24"/>
          <w:szCs w:val="24"/>
        </w:rPr>
        <w:t xml:space="preserve"> варіантів</w:t>
      </w:r>
      <w:r w:rsidR="00402B0B">
        <w:rPr>
          <w:rFonts w:ascii="Times New Roman" w:hAnsi="Times New Roman" w:cs="Times New Roman"/>
          <w:sz w:val="24"/>
          <w:szCs w:val="24"/>
        </w:rPr>
        <w:t xml:space="preserve"> рівень</w:t>
      </w:r>
      <w:r w:rsidR="00402B0B" w:rsidRPr="00A67F90">
        <w:rPr>
          <w:rFonts w:ascii="Times New Roman" w:hAnsi="Times New Roman" w:cs="Times New Roman"/>
          <w:sz w:val="24"/>
          <w:szCs w:val="24"/>
        </w:rPr>
        <w:t xml:space="preserve">, який найбільше відповідає реальній ситуації у громаді </w:t>
      </w:r>
      <w:r w:rsidRPr="00A67F90">
        <w:rPr>
          <w:rFonts w:ascii="Times New Roman" w:hAnsi="Times New Roman" w:cs="Times New Roman"/>
          <w:sz w:val="24"/>
          <w:szCs w:val="24"/>
        </w:rPr>
        <w:t>(кожен рівень описано орієнтовн</w:t>
      </w:r>
      <w:r w:rsidR="00402B0B">
        <w:rPr>
          <w:rFonts w:ascii="Times New Roman" w:hAnsi="Times New Roman" w:cs="Times New Roman"/>
          <w:sz w:val="24"/>
          <w:szCs w:val="24"/>
        </w:rPr>
        <w:t>ими альтернативними варіантами;</w:t>
      </w:r>
    </w:p>
    <w:p w:rsidR="00B20385" w:rsidRPr="00A67F90" w:rsidRDefault="00B20385" w:rsidP="00287EF8">
      <w:pPr>
        <w:spacing w:after="0"/>
        <w:ind w:left="-567" w:right="-23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 xml:space="preserve">2) або погодитися чи спростувати відповідну тезу (надати відповідь “так” або “ні”). </w:t>
      </w:r>
    </w:p>
    <w:p w:rsidR="00B20385" w:rsidRPr="00287EF8" w:rsidRDefault="00B20385" w:rsidP="00287EF8">
      <w:pPr>
        <w:spacing w:after="0"/>
        <w:ind w:left="-567" w:right="-23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>Також звертаємо вашу увагу, що після кожного питання знаходиться примітка про документальне підтвердження щодо його змісту. Ви надаєте посилання на таку інформацію, за умови її наяності. Якщо інформамація відсутня - залишаєте поле пустим. Адже набільш точно обрати той чи інший рівень ви зможете лише у випадку, коли будете володіти необхідною інформацією, яку можна отримати із різних джерел за вашим вибором (звіти, резуль</w:t>
      </w:r>
      <w:r w:rsidR="00287EF8">
        <w:rPr>
          <w:rFonts w:ascii="Times New Roman" w:hAnsi="Times New Roman" w:cs="Times New Roman"/>
          <w:sz w:val="24"/>
          <w:szCs w:val="24"/>
        </w:rPr>
        <w:t>тати опитування в громаді тощо)</w:t>
      </w:r>
    </w:p>
    <w:tbl>
      <w:tblPr>
        <w:tblW w:w="104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923"/>
      </w:tblGrid>
      <w:tr w:rsidR="00FC2EB4" w:rsidRPr="00FC2EB4" w:rsidTr="00287EF8">
        <w:trPr>
          <w:trHeight w:val="360"/>
        </w:trPr>
        <w:tc>
          <w:tcPr>
            <w:tcW w:w="10490" w:type="dxa"/>
            <w:gridSpan w:val="2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1. Фізична доступність просторів, адміністративних будівель та транспорту</w:t>
            </w:r>
          </w:p>
        </w:tc>
      </w:tr>
      <w:tr w:rsidR="00FC2EB4" w:rsidRPr="00FC2EB4" w:rsidTr="00287EF8">
        <w:trPr>
          <w:trHeight w:val="483"/>
        </w:trPr>
        <w:tc>
          <w:tcPr>
            <w:tcW w:w="567" w:type="dxa"/>
            <w:vMerge w:val="restart"/>
            <w:noWrap/>
            <w:hideMark/>
          </w:tcPr>
          <w:p w:rsidR="00FC2EB4" w:rsidRPr="00B20385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0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3" w:type="dxa"/>
            <w:hideMark/>
          </w:tcPr>
          <w:p w:rsidR="00FC2EB4" w:rsidRPr="00745CEF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проводиться моніторинг бар'єрів у публічному просторі (будівлі, тротуари, зупинки тощо).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="0074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так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ні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так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ED13A2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 (за наявності) звіт за результатами проведеного моніторингу наявних бар'єрів у Вашій громаді _</w:t>
            </w:r>
            <w:r w:rsidR="00745CEF" w:rsidRPr="00745CE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ru-RU"/>
              </w:rPr>
              <w:t>https://rada.info/upload/users_files/04326224/063d7683e66a3fe96b500e5958e3af52.pdf</w:t>
            </w:r>
            <w:r w:rsidRPr="00745CE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ru-RU"/>
              </w:rPr>
              <w:t>_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 (посилання на звіт)</w:t>
            </w:r>
          </w:p>
        </w:tc>
      </w:tr>
      <w:tr w:rsidR="00FC2EB4" w:rsidRPr="00FC2EB4" w:rsidTr="00287EF8">
        <w:trPr>
          <w:trHeight w:val="443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923" w:type="dxa"/>
            <w:hideMark/>
          </w:tcPr>
          <w:p w:rsidR="00FC2EB4" w:rsidRPr="00745CEF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Громадський тра</w:t>
            </w:r>
            <w:r w:rsidR="00402B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спорт доступний для людей з порушеннями функціонування та інших маломобільних груп населення. </w:t>
            </w:r>
            <w:r w:rsidR="00F32940" w:rsidRPr="00C55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  <w:r w:rsidR="0074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</w:t>
            </w:r>
          </w:p>
        </w:tc>
      </w:tr>
      <w:tr w:rsidR="00FC2EB4" w:rsidRPr="00FC2EB4" w:rsidTr="00287EF8">
        <w:trPr>
          <w:trHeight w:val="779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транспорт не пристосований для потреб маломобільних груп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відсутні будь-які пристосування (пандуси, низька підлога, фіксатори крісел колісних тощо)</w:t>
            </w:r>
          </w:p>
        </w:tc>
      </w:tr>
      <w:tr w:rsidR="00FC2EB4" w:rsidRPr="00FC2EB4" w:rsidTr="00287EF8">
        <w:trPr>
          <w:trHeight w:val="165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пристосовані лише окремі одиниці транспорту (менше 25%)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доступність носить фрагментарний характер (наприклад, на маршруті лише 1-2 автобуси мають фіксатори для крісел колісних та низьку підлогу)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відповідні адаптації в переважній більшості несправні, застарілі або незручні для використання</w:t>
            </w:r>
          </w:p>
        </w:tc>
      </w:tr>
      <w:tr w:rsidR="00FC2EB4" w:rsidRPr="00FC2EB4" w:rsidTr="00287EF8">
        <w:trPr>
          <w:trHeight w:val="203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Нижче середнього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25–50% транспорту має базові пристосування (також, наприклад, доступний транспорт є на окремих маршрутах або в певні години, але без охоплення більшості)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відсутній системний підхід до забезпечення доступності транспорту та оновлення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пристосування досить часто несправні, застарілі або незручні для використання</w:t>
            </w:r>
          </w:p>
        </w:tc>
      </w:tr>
      <w:tr w:rsidR="00FC2EB4" w:rsidRPr="00FC2EB4" w:rsidTr="00287EF8">
        <w:trPr>
          <w:trHeight w:val="698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половину (понад 50%) транспортних засобів базово пристосовано для маломобільних осіб (наприклад, 6 із 10 автобусів мають пандуси, кнопки виклику водія, місця для крісел колісних)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є системний підхід до оновлення та використання доступного транспорту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деякі адаптації можуть бути несправні, застарілі або незручні для використання</w:t>
            </w:r>
          </w:p>
        </w:tc>
      </w:tr>
      <w:tr w:rsidR="00FC2EB4" w:rsidRPr="00FC2EB4" w:rsidTr="00287EF8">
        <w:trPr>
          <w:trHeight w:val="198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Вище середнього рівня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більшість транспорту (понад 75%) має комплексне обладнання для маломобільних груп (наприклад, 9 із 10 автобусів мають пандуси, кнопки виклику водія, місця для крісел колісних; (пандуси, низька підлога, фіксатори крісел колісних, аудіо/візуальна навігація тощо)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є системний підхід до забезпечення доступності транспорту та оновлення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окремі пристосування можуть мати незначні пошкодження, однак громада забезпечує їх оперативне виявлення, ремонт або заміну</w:t>
            </w:r>
          </w:p>
        </w:tc>
      </w:tr>
      <w:tr w:rsidR="00FC2EB4" w:rsidRPr="00FC2EB4" w:rsidTr="00287EF8">
        <w:trPr>
          <w:trHeight w:val="133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увесь (100%) транспорт на маршруті або в мережі відповідає вимогам доступності (наприклад, усі 10 з 10 автобусів мають комплексні пристосування)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забезпечено системну та стійку доступність на рівні інфраструктури, навчання водіїв та технічного обслуговування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випадки пошкодшень, несправностей або зношення фіксуються та усуваються без затримки згідно з визначеними стандартами обслуговування.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923" w:type="dxa"/>
            <w:hideMark/>
          </w:tcPr>
          <w:p w:rsidR="00FC2EB4" w:rsidRPr="00ED13A2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 (за наявності) документальне підтвердження доступності громадського траспорту для осіб з порушеннями функціонування та інших маломобільних груп населення (зокрема, розрахунку відсотків) __________________ (посилання на звіт)</w:t>
            </w:r>
          </w:p>
        </w:tc>
      </w:tr>
      <w:tr w:rsidR="00FC2EB4" w:rsidRPr="00FC2EB4" w:rsidTr="00287EF8">
        <w:trPr>
          <w:trHeight w:val="807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923" w:type="dxa"/>
            <w:hideMark/>
          </w:tcPr>
          <w:p w:rsidR="00FC2EB4" w:rsidRPr="00745CEF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Громадські зони забезпечено зручними лавками, пішохідними доріжками з рівним покриттям, доступними туалетами, паркувальними місцями з елементами доступності. </w:t>
            </w:r>
            <w:r w:rsidR="00F32940" w:rsidRPr="00C55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Виберіть один з варіантів </w:t>
            </w:r>
            <w:proofErr w:type="gramStart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</w:t>
            </w:r>
            <w:proofErr w:type="gramEnd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ідповіді:</w:t>
            </w:r>
            <w:r w:rsidR="0074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в</w:t>
            </w:r>
          </w:p>
        </w:tc>
      </w:tr>
      <w:tr w:rsidR="00FC2EB4" w:rsidRPr="00FC2EB4" w:rsidTr="00287EF8">
        <w:trPr>
          <w:trHeight w:val="232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у громадських зонах відсутні або повністю недоступні: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лавки (наприклад, немає або незручні для осіб з порушенням функціонування),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доступні туалети (наприклад, жодного громадського туалету з безбар’єрним входом),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рівні пішохідні доріжки (напркилад, наявне ґрунтове або вибоїсте покриття),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паркувальні місця з елементами доступності (наприклад, відсутні).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немає жодного простору, який би враховував потреби осіб з інвалідністю чи маломобільних груп населення</w:t>
            </w:r>
          </w:p>
        </w:tc>
      </w:tr>
      <w:tr w:rsidR="00FC2EB4" w:rsidRPr="00FC2EB4" w:rsidTr="00287EF8">
        <w:trPr>
          <w:trHeight w:val="198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лише окремі об’єкти або зони (менше 25%) мають поодинокі елементи доступності (наприклад, наявні лише одна-дві зручні лавки на всі громадські простори; одна доступна вбиральня, решта – звичайні; паркомісця для осіб з інвалідністю або не позначені, або зайняті сторонніми авто; доріжки мають ділянки з небезпечними нерівностями)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більшість елементів несправні, застарілі або незручні для використання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відсутній системний підхід до розміщення доступних рішень</w:t>
            </w:r>
          </w:p>
        </w:tc>
      </w:tr>
      <w:tr w:rsidR="00FC2EB4" w:rsidRPr="00FC2EB4" w:rsidTr="00287EF8">
        <w:trPr>
          <w:trHeight w:val="198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25% громадських зон мають окремі елементи безбар’єрного облаштування (наприклад, частина зон має доступні доріжки або туалети, але без зв’язку між ними; лавки без підлокітників, вузькі проходи, немає зручної навігації)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окремі зони можуть бути пристосовані, але частково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якомучастина елементів досить часто  несправні, застарілі або незручні для використання</w:t>
            </w:r>
          </w:p>
        </w:tc>
      </w:tr>
      <w:tr w:rsidR="00FC2EB4" w:rsidRPr="00FC2EB4" w:rsidTr="00287EF8">
        <w:trPr>
          <w:trHeight w:val="231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Середній рівень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50% громадських зон мають базове облаштування для осіб з інвалідністю та інших маломобільних груп населення (наприклад, туалети із поручнями; лавки з підлокітниками;  рівні, тверді пішохідні доріжки; паркувальні місця з елементами доступності)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перважана більшість адаптацій доглядаються і підтримуються у належному стані, проте деякі можуть бути несправні, застарілі або незручні для використання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простори можуть бути також частково зоновані логічно (зручне розташування длстурних туалетів, лавок і паркомісць)</w:t>
            </w:r>
          </w:p>
        </w:tc>
      </w:tr>
      <w:tr w:rsidR="00FC2EB4" w:rsidRPr="00FC2EB4" w:rsidTr="00287EF8">
        <w:trPr>
          <w:trHeight w:val="699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75% громадських зон у громаді облаштовано з урахуванням потреб осіб з інвалідністю та інших маломобільних груп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наявні комплексні елементи доступності (наприклад, зручні лавки з підлокітниками, пандуси, доступні туалети, рівні, тверді пішохідні доріжки з достатньою шириною; марковані паркувальні місця з елементами доступності)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розміщення елементів логічне та зручне: наприклад, зони комфорту (туалети, лавки, паркомісця) розміщено поруч одна з одною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більшість елементів є новими або відремонтованими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наявні незначні пошкодження/несправності окремих адаптацій, які вчасно ремонтуються/замінюються</w:t>
            </w:r>
          </w:p>
        </w:tc>
      </w:tr>
      <w:tr w:rsidR="00FC2EB4" w:rsidRPr="00FC2EB4" w:rsidTr="00287EF8">
        <w:trPr>
          <w:trHeight w:val="756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усі громадські зони (100%) пристосовано до потреб осіб з інвалідністю та інших маломобільних груп населення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усі громадські зони облаштовано та зоновано з урахуванням принципів універсального дизайну та функціональних доступних рішень (всі зони мають комплексні, функціональні рішення, які охоплюють потреби людей з порушеннями зору, слуху, опорно-рухового апарату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доступність забезпечена на рівні навігації та зонування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наявна система моніторингу та технічного обслуговування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усі випадки пошкодшень, несправностей або зношення фіксуються та усуваються без затримки згідно з визначеними стандартами обслуговування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091DAD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Надайте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документальне підтвердження забезпечення зручними лавками, пішохідними доріжками з рівним покриттям, доступними туалетами, паркувальними місцями з елементами доступності громадських місць Вашої громади (зокрема, розрахунку відсотків)</w:t>
            </w:r>
            <w:r w:rsid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091DAD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091DAD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091DAD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287EF8">
        <w:trPr>
          <w:trHeight w:val="203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Громадські зони забезпечено освітленням.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відповіді:</w:t>
            </w:r>
            <w:r w:rsidR="0074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г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громадські простори не освітлюються в темний час доби або систематичне освітлення відсутнє</w:t>
            </w:r>
          </w:p>
        </w:tc>
      </w:tr>
      <w:tr w:rsidR="00FC2EB4" w:rsidRPr="00FC2EB4" w:rsidTr="00287EF8">
        <w:trPr>
          <w:trHeight w:val="99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джерела освітлення наявні лише в окремих зонах (менше 25%)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можливим є також варіант, при якому джерела освітлення в переважній більшості несправні </w:t>
            </w:r>
          </w:p>
        </w:tc>
      </w:tr>
      <w:tr w:rsidR="00FC2EB4" w:rsidRPr="00FC2EB4" w:rsidTr="00287EF8">
        <w:trPr>
          <w:trHeight w:val="99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</w:t>
            </w:r>
            <w:r w:rsidR="003B7B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світлення наявні у понад 25% зон, однак розташовані можуть бути нерівномірно, поодиноко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освітлення може бути слабким, не освтілювати всі зони</w:t>
            </w:r>
          </w:p>
        </w:tc>
      </w:tr>
      <w:tr w:rsidR="00FC2EB4" w:rsidRPr="00FC2EB4" w:rsidTr="00287EF8">
        <w:trPr>
          <w:trHeight w:val="1407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більшості зон (понад 50%) забезпечено освітлення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джерела освітлення логічно розміщені та в переважній більшості є справними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освітленням забезпечено переважну більшість простору громадських зон</w:t>
            </w:r>
          </w:p>
        </w:tc>
      </w:tr>
      <w:tr w:rsidR="00FC2EB4" w:rsidRPr="00FC2EB4" w:rsidTr="00287EF8">
        <w:trPr>
          <w:trHeight w:val="165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більшість громадських зон (понад 75%) забезпечено якісним, рівномірним освітленням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освітлюються ключові маршрути переміщення, зони очікування, входи до публічних будівель, пішохідні доріжки та паркувальні місця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більшість джерел освітлення знаходяться в справному стані, можуть мати незначні пошкодження, а у разі несправності - передбачено систему оперативного ремонту або заміни</w:t>
            </w:r>
          </w:p>
        </w:tc>
      </w:tr>
      <w:tr w:rsidR="00FC2EB4" w:rsidRPr="00FC2EB4" w:rsidTr="00287EF8">
        <w:trPr>
          <w:trHeight w:val="1463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громадські простори (100%) мають якісне освітлення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освітленням забезпечено всі маршрути громадських зон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наявність освітлення контролюєтьсяя та підтримується стабільна робота його джерел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громаді функціонує механізм моніторингу роботи освітлення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866B21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забезпечення громадських зон Вашої громади освітленням (зокрема, розрахунку відсотків)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923" w:type="dxa"/>
            <w:hideMark/>
          </w:tcPr>
          <w:p w:rsidR="00FC2EB4" w:rsidRPr="00745CEF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Зупинки громадського транспорту громади обладнані навісами, інформаційними табло та зонами очікування з елементами доступності. </w:t>
            </w:r>
            <w:r w:rsidR="00F32940" w:rsidRPr="00C55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Виберіть один з варіантів </w:t>
            </w:r>
            <w:proofErr w:type="gramStart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</w:t>
            </w:r>
            <w:proofErr w:type="gramEnd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ідповіді:</w:t>
            </w:r>
            <w:r w:rsidR="0074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</w:t>
            </w:r>
          </w:p>
        </w:tc>
      </w:tr>
      <w:tr w:rsidR="00FC2EB4" w:rsidRPr="00FC2EB4" w:rsidTr="00287EF8">
        <w:trPr>
          <w:trHeight w:val="756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всі наявні зупинки не мають жодного елементу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відсутні навіси, сидіння, інформація про маршрути.</w:t>
            </w:r>
          </w:p>
        </w:tc>
      </w:tr>
      <w:tr w:rsidR="00FC2EB4" w:rsidRPr="00FC2EB4" w:rsidTr="00287EF8">
        <w:trPr>
          <w:trHeight w:val="898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обладнані лише окремі зупинки (менше 25%) або фрагменти зупинок (наприклад, наявні поодинокі навіси, сидіння; інформаційні табло або взагалі відсутні або часто не працюють)</w:t>
            </w:r>
          </w:p>
        </w:tc>
      </w:tr>
      <w:tr w:rsidR="00FC2EB4" w:rsidRPr="00FC2EB4" w:rsidTr="00287EF8">
        <w:trPr>
          <w:trHeight w:val="132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доступними є понад 25% з наявних зупинок (напрклад, є навіси, місця для очікування, подекуди - інформаційні табло)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відсутня системність в облаштуванні зупинок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облаштування зупинок може бути частково пошкодженим або зношеним</w:t>
            </w:r>
          </w:p>
        </w:tc>
      </w:tr>
      <w:tr w:rsidR="00FC2EB4" w:rsidRPr="00FC2EB4" w:rsidTr="00287EF8">
        <w:trPr>
          <w:trHeight w:val="132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зупинок обладнані базовими елементами доступності (наприклад, наявні навіси, лавки, пандуси, інформаційні табло)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в переважній більшості випадків враховані потреби маломобільних груп населення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можуть бути наявні незначні пошкодження елементів облаштування, які вчасно ремонтуються/замінюються</w:t>
            </w:r>
          </w:p>
        </w:tc>
      </w:tr>
      <w:tr w:rsidR="00FC2EB4" w:rsidRPr="00FC2EB4" w:rsidTr="00287EF8">
        <w:trPr>
          <w:trHeight w:val="198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зупинок у громаді обладнано елементами доступності (напркилад, навісами, лавками, пандусами, контрастною розміткою, справними інформаційними табло)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потреби маломобільних груп населення враховано комплексно, у тому числі доступність простору для крісел колісних, людей з тростинами або дитячими візками.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елементи облаштування (сидіння, навіси тощо) підтримуються в належному стані, дрібні пошкодження або зношення вчасно усуваються.</w:t>
            </w:r>
          </w:p>
        </w:tc>
      </w:tr>
      <w:tr w:rsidR="00FC2EB4" w:rsidRPr="00FC2EB4" w:rsidTr="00287EF8">
        <w:trPr>
          <w:trHeight w:val="84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всі зупинки громадського транспорту (100%) відповідають вимогам інклюзивності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враховано потреби всіх груп населення (наприклад, наявна система озвучування інформації з табло)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всі зупинки громадського транспорту бладнано комплексно: навіси, лавки, місця для крісел колісних, пандуси з поручнями, тактильна плитка, контрастна розмітка, інформаційні табло з візуальною та звуковою подачею інформації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елементи облаштування регулярно обслуговується, ремонтуються, оновлюються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функціонує стала система моніторингу, обслуговування і оновлення інфраструктури зупинок 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866B21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обладнаних навісами зупинок громадського транспорту Вашої громади інформаційними табло та зонами очікування з елементами доступності (зокрема, розрахунку відсотків)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3" w:type="dxa"/>
            <w:hideMark/>
          </w:tcPr>
          <w:p w:rsidR="00FC2EB4" w:rsidRPr="00745CEF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наявна відповідна розмітка, освітлення та маркування з елементами доступності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ішохідних переходів у місцях з високим трафіком. </w:t>
            </w:r>
            <w:r w:rsidR="00F32940" w:rsidRPr="00C55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  <w:r w:rsidR="0074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</w:t>
            </w:r>
          </w:p>
        </w:tc>
      </w:tr>
      <w:tr w:rsidR="00FC2EB4" w:rsidRPr="00FC2EB4" w:rsidTr="00287EF8">
        <w:trPr>
          <w:trHeight w:val="133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відсутня будь-яка розмітка та/або освітлення на усіх пішохідних переходах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пішохідні переходи важко помітні та складні для орієнтації, особливо в темний час доби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 відсутні будь-які елементами доступності пішохідних переходів у місцях з високим трафіком</w:t>
            </w:r>
          </w:p>
        </w:tc>
      </w:tr>
      <w:tr w:rsidR="00FC2EB4" w:rsidRPr="00FC2EB4" w:rsidTr="00287EF8">
        <w:trPr>
          <w:trHeight w:val="104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менше 25% пішохідних переходів мають стару, стерту або частково знищену розмітку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освітлення часто відсутнє або не працює взагалі (до 25% пішохідних переходів)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відсутні маркування для осіб з порушенням зору</w:t>
            </w:r>
          </w:p>
        </w:tc>
      </w:tr>
      <w:tr w:rsidR="00FC2EB4" w:rsidRPr="00FC2EB4" w:rsidTr="00287EF8">
        <w:trPr>
          <w:trHeight w:val="742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25% переходів мають розмітку, що може бути частково стертою або нерівномірно нанесеною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понад 25% переходів мають базове освітлення, однак воно незабезпечує якісне освітлення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можливим є також варіант, при якому тактильні елементи або спеціальні маркування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встановлено лише в окремих місцях без єдиного підходу</w:t>
            </w:r>
          </w:p>
        </w:tc>
      </w:tr>
      <w:tr w:rsidR="00FC2EB4" w:rsidRPr="00FC2EB4" w:rsidTr="00287EF8">
        <w:trPr>
          <w:trHeight w:val="132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C55981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</w:t>
            </w:r>
            <w:r w:rsidR="00FC2EB4" w:rsidRPr="00C55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C55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переходів у зонах з високим трафіком облаштовано розміткою, маркуванням, освітленням</w:t>
            </w:r>
            <w:r w:rsidR="00FC2EB4" w:rsidRPr="00C55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розмітка на більшості переходів (понад 50%) середнього рівня збереження, але частина з них потребує оновлення</w:t>
            </w:r>
            <w:r w:rsidR="00FC2EB4" w:rsidRPr="00C55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впроваджено частковий підхід до врахування потреб маломобільних груп</w:t>
            </w:r>
          </w:p>
        </w:tc>
      </w:tr>
      <w:tr w:rsidR="00FC2EB4" w:rsidRPr="00FC2EB4" w:rsidTr="00287EF8">
        <w:trPr>
          <w:trHeight w:val="698"/>
        </w:trPr>
        <w:tc>
          <w:tcPr>
            <w:tcW w:w="567" w:type="dxa"/>
            <w:vMerge/>
            <w:hideMark/>
          </w:tcPr>
          <w:p w:rsidR="00FC2EB4" w:rsidRPr="00C55981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C55981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</w:t>
            </w:r>
            <w:r w:rsidR="00FC2EB4" w:rsidRPr="00C55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C55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більшість пішохідних переходів (понад 75%) у місцях з високим трафіком облаштовано з урахуванням потреб осіб з інвалідністю та маломобільних груп</w:t>
            </w:r>
            <w:r w:rsidR="00FC2EB4" w:rsidRPr="00C55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наявне якісне освітлення, свіжа, чітка розмітка, а також тактильні елементи для орієнтації осіб з порушенням зору у понад 75%</w:t>
            </w:r>
            <w:r w:rsidR="00FC2EB4" w:rsidRPr="00C55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првило, у разі пошкоджень або зношення елементів забезпечується їх своєчасне відновлення чи заміна</w:t>
            </w:r>
            <w:r w:rsidR="00FC2EB4" w:rsidRPr="00C55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підхід до забезпечення доступності та оновлення пристосувань є системним</w:t>
            </w:r>
          </w:p>
        </w:tc>
      </w:tr>
      <w:tr w:rsidR="00FC2EB4" w:rsidRPr="00FC2EB4" w:rsidTr="00287EF8">
        <w:trPr>
          <w:trHeight w:val="1665"/>
        </w:trPr>
        <w:tc>
          <w:tcPr>
            <w:tcW w:w="567" w:type="dxa"/>
            <w:vMerge/>
            <w:hideMark/>
          </w:tcPr>
          <w:p w:rsidR="00FC2EB4" w:rsidRPr="00C55981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C55981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</w:t>
            </w:r>
            <w:r w:rsidR="00091DAD" w:rsidRPr="00C55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FC2EB4" w:rsidRPr="00C55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переходи (100%) в місцях із трафіком  відповідають вимогам інклюзивності та універсального дизайну</w:t>
            </w:r>
            <w:r w:rsidR="00FC2EB4" w:rsidRPr="00C55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встановлено якісне освітлення, яскраву та оновлену розмітку, контрастні елементи, тактильну плитку, зручну навігацію</w:t>
            </w:r>
            <w:r w:rsidR="00FC2EB4" w:rsidRPr="00C55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всі елементи підтримується в належному стані, ремонтуються, оновлюються без затримок</w:t>
            </w:r>
            <w:r w:rsidR="00FC2EB4" w:rsidRPr="00C55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доступність переходів враховується під час поточних ремонтів і реконструкцій дорожньої інфраструктури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C55981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866B21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наявної відповідної розмітки, освітлення та маркування з елементами доступності пішохідних переходів у місцях з високим трафіком у Вашій громаді (зокрема, розрахунку відсотків)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923" w:type="dxa"/>
            <w:hideMark/>
          </w:tcPr>
          <w:p w:rsidR="00FC2EB4" w:rsidRPr="00745CEF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Св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ітлофори громади забезпечено елементами оповіщення для осіб з порушенням зору. </w:t>
            </w:r>
            <w:r w:rsidR="00F32940" w:rsidRPr="00C55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  <w:r w:rsidR="0074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 (відсутні)</w:t>
            </w:r>
          </w:p>
        </w:tc>
      </w:tr>
      <w:tr w:rsidR="00FC2EB4" w:rsidRPr="00FC2EB4" w:rsidTr="00287EF8">
        <w:trPr>
          <w:trHeight w:val="133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усі світлофори не мають жодних елементів звукового оповіщення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орієнтація для осіб із порушенням зору є вркай ускладненою чи недоступною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жодних заходів щодо врахування інклюзивності на рівні світлофорної інфраструктури не передбачено</w:t>
            </w:r>
          </w:p>
        </w:tc>
      </w:tr>
      <w:tr w:rsidR="00FC2EB4" w:rsidRPr="00FC2EB4" w:rsidTr="00287EF8">
        <w:trPr>
          <w:trHeight w:val="132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менше 25% світлофорів (наприколад, лише 1–2 світлофори) мають звукове оповіщення, або вони часто не працюють або встановлені хаотично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розміщення таких пристроїв не враховує зони пріоритетного пішохідного руху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відсутня система обслуговування таких пристроїв</w:t>
            </w:r>
          </w:p>
        </w:tc>
      </w:tr>
      <w:tr w:rsidR="00FC2EB4" w:rsidRPr="00FC2EB4" w:rsidTr="00287EF8">
        <w:trPr>
          <w:trHeight w:val="165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25% світлофорів мають звукове оповіщення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елементи доступності досить часто неузгоджені або несправні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 як правило, розміщення таких пристроїв частково враховує зони пріоритетного пішохідного руху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 можливим є також варіант, при якому роботи з  обслуговування таких пристроїв проводяться епізодично</w:t>
            </w:r>
          </w:p>
        </w:tc>
      </w:tr>
      <w:tr w:rsidR="00FC2EB4" w:rsidRPr="00FC2EB4" w:rsidTr="00287EF8">
        <w:trPr>
          <w:trHeight w:val="231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Середній рівень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світлофорів у громаді обладнано функціональними системами звукового оповіщення, які допомагають орієнтуватися особам з порушенням зору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пріоритет розміщення таких пристроїв надано у районах з інтенсивним трафіком та пішохідним маршрутам загального користування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частина систем може бути несправною або працювати нестабільно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ремонт здійснюється переважно за зверненнями громадян, а не на основі регулярного моніторингу</w:t>
            </w:r>
          </w:p>
        </w:tc>
      </w:tr>
      <w:tr w:rsidR="00FC2EB4" w:rsidRPr="00FC2EB4" w:rsidTr="00287EF8">
        <w:trPr>
          <w:trHeight w:val="198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світлофорів у громаді обладнано функціональними системами звукового оповіщення, які допомагають орієнтуватися особам з порушенням зору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пріоритет надано зонам з інтенсивним рухом, поруч із громадськими установами, школами та зупинками транспорту.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усі елементи змонтовані з урахуванням просторової логіки руху пішоходів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у разі несправностей або пошкоджень вживаються оперативні заходи щодо ремонту чи заміни</w:t>
            </w:r>
          </w:p>
        </w:tc>
      </w:tr>
      <w:tr w:rsidR="00FC2EB4" w:rsidRPr="00FC2EB4" w:rsidTr="00287EF8">
        <w:trPr>
          <w:trHeight w:val="199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світлофори (100%)  у громаді обладнано функціональними системами звукового оповіщення, які допомагають орієнтуватися особам з порушенням зору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відповідні системи перевіряються й обслуговуються регулярно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звукові сигнали мають регульовану гучність відповідно до рівня шуму в навколишньому середовищі (адаптивна система)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впроваджено систему планового технічного обслуговування, моніторингу та превентивного ремонту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091DAD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забезпечення світлофорів елементами оповіщення для осіб з порушенням зору у Вашій громаді (зокрема, розрахунку відсотків)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923" w:type="dxa"/>
            <w:hideMark/>
          </w:tcPr>
          <w:p w:rsidR="00FC2EB4" w:rsidRPr="003A770E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Публічні простори та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адм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інбудівлі доступні для маломобільних груп. </w:t>
            </w:r>
            <w:r w:rsidR="00F32940" w:rsidRPr="00C55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  <w:r w:rsidR="003A77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</w:t>
            </w:r>
          </w:p>
        </w:tc>
      </w:tr>
      <w:tr w:rsidR="00FC2EB4" w:rsidRPr="00091DAD" w:rsidTr="00287EF8">
        <w:trPr>
          <w:trHeight w:val="100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091DAD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091DAD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відсутні будь-які пристосування для маломобільних груп населення у публічних просторах та адмінбудівлях (відсутні пандуси, ліфти, широкі проходи, тактильні елементи тощо)</w:t>
            </w:r>
          </w:p>
        </w:tc>
      </w:tr>
      <w:tr w:rsidR="00FC2EB4" w:rsidRPr="00091DAD" w:rsidTr="00287EF8">
        <w:trPr>
          <w:trHeight w:val="1320"/>
        </w:trPr>
        <w:tc>
          <w:tcPr>
            <w:tcW w:w="567" w:type="dxa"/>
            <w:vMerge/>
            <w:hideMark/>
          </w:tcPr>
          <w:p w:rsidR="00FC2EB4" w:rsidRPr="00091DAD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091DAD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091DAD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Низький рівень</w:t>
            </w:r>
            <w:r w:rsidR="00FC2EB4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загальна частка доступних об'єктів - менше 25%</w:t>
            </w:r>
            <w:r w:rsidR="00FC2EB4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деякі об'єкти мають окремі пристосування, але вони поодинокі й несистемні</w:t>
            </w:r>
            <w:r w:rsidR="00FC2EB4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пристосування встановлено вибірково, часто за ініціативою окремих установ</w:t>
            </w:r>
          </w:p>
        </w:tc>
      </w:tr>
      <w:tr w:rsidR="00FC2EB4" w:rsidRPr="00FC2EB4" w:rsidTr="00287EF8">
        <w:trPr>
          <w:trHeight w:val="1650"/>
        </w:trPr>
        <w:tc>
          <w:tcPr>
            <w:tcW w:w="567" w:type="dxa"/>
            <w:vMerge/>
            <w:hideMark/>
          </w:tcPr>
          <w:p w:rsidR="00FC2EB4" w:rsidRPr="00091DAD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доступність забезпечено у частині просторів та адмінбудівель (понад 25%)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відсутній системний  підхід до забезпечення доступності та оновлення пристосувань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доступ є обмеженим, особливо у громадських місцях з великим потоком людей</w:t>
            </w:r>
          </w:p>
        </w:tc>
      </w:tr>
      <w:tr w:rsidR="00FC2EB4" w:rsidRPr="00FC2EB4" w:rsidTr="00287EF8">
        <w:trPr>
          <w:trHeight w:val="165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переважна більшість публічних просторва та адмінбудівель (понад 50%) мають необхідні пристосування для маломобільних груп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доступ забезпечено системно (наявні пандуси, ліфти, широкі проходи, тактильні елементи, навігація, доступні туалети тощо)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можуть враховуватися не всі потреби осіб з порушеннями функціонування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маломобільні групи населення можуть вільно пересуватись більшістю просторів</w:t>
            </w:r>
          </w:p>
        </w:tc>
      </w:tr>
      <w:tr w:rsidR="00FC2EB4" w:rsidRPr="00FC2EB4" w:rsidTr="00287EF8">
        <w:trPr>
          <w:trHeight w:val="264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публічних просторів та адмінбудівель у громаді мають функціональні пристосування для маломобільних груп населення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забезпечено системний підхід до облаштування простору (наприклад, наявні пандуси, ліфти, широкі дверні проходи, поручні, тактильні елементи, адаптовані туалети, частково - візуальна та аудіо навігація)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наявна логіка доступного зонування, наприклад, всі основні сервіси розміщені на доступних поверхах або є ліфт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виявлені пошкодження або зношення елементів доступності ремонтуються в оперативні строки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враховуються потреби різних груп, однак окремі інклюзивні рішення можуть бути неповними або потребувати удосконалення</w:t>
            </w:r>
          </w:p>
        </w:tc>
      </w:tr>
      <w:tr w:rsidR="00FC2EB4" w:rsidRPr="00FC2EB4" w:rsidTr="00287EF8">
        <w:trPr>
          <w:trHeight w:val="614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(100%) публічні простори та адміністративні будівлі громади облаштовано комплексно, згідно з принципами універсального дизайну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враховано потреби всіх осіб з тим чи іншим порушенням функціонування (рух, зір, слух тощо)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передбачено навігацію кількома каналами - зорову, тактильну, аудіо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маломобільні групи населення можуть вільно пересуватись та користуватись усіма функціональними зонами без обмежень чи супроводу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вроваджено систему регулярного моніторингу технічного стану адаптацій, ремонту та оновлення</w:t>
            </w:r>
          </w:p>
        </w:tc>
      </w:tr>
      <w:tr w:rsidR="00FC2EB4" w:rsidRPr="00FC2EB4" w:rsidTr="00287EF8">
        <w:trPr>
          <w:trHeight w:val="690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091DAD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забезпечення доступності публічних просторів та адмінбудівель у Вашій громаді (зокрема, розрахунку відсотків)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923" w:type="dxa"/>
            <w:hideMark/>
          </w:tcPr>
          <w:p w:rsidR="00FC2EB4" w:rsidRPr="003A770E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 громаді наявні зелені зони (парки, сквери тощо) в рамках пішої доступності із відповідним облаштуванням щодо вимог безбар’рності (10 хв пішки).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  <w:r w:rsidR="003A77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</w:t>
            </w:r>
          </w:p>
        </w:tc>
      </w:tr>
      <w:tr w:rsidR="00FC2EB4" w:rsidRPr="00FC2EB4" w:rsidTr="00287EF8">
        <w:trPr>
          <w:trHeight w:val="133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 межах пішої доступності (до 10 хвилин ходьби) від житлових масивів відсутні будь-які зелені зони (парки, сквери, громадські сади).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облаштування з урахуванням безбар’єрності (наприклад, відсутні пандуси, доріжки з твердим покритттям, зручні лавки, тактильні елементи, доступні входи)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навколишній простір є непридатним для відпочинку осіб із порушенням функціонування.</w:t>
            </w:r>
          </w:p>
        </w:tc>
      </w:tr>
      <w:tr w:rsidR="00FC2EB4" w:rsidRPr="00FC2EB4" w:rsidTr="00287EF8">
        <w:trPr>
          <w:trHeight w:val="132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 межах 10 хв ходьби наявні лише 1 зелена зона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доступні лише поодинокі елементи безбар’єрності, часто несправні або незручні (наприклад, один пандус, зношені лавки тощо).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вхід може бути важкодоступним або незручним для маломобільних груп</w:t>
            </w:r>
          </w:p>
        </w:tc>
      </w:tr>
      <w:tr w:rsidR="00FC2EB4" w:rsidRPr="00FC2EB4" w:rsidTr="00287EF8">
        <w:trPr>
          <w:trHeight w:val="756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зелені зони в межах пішої доступності наявні, але охоплюють лише частину району (25–50% житлових кварталів)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зони частково облаштовані (наприклад, наявні деякі доступні доріжки, пандуси, лавки, але відсутня системність)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елементи доступності розташовані випадково, частина з них – несправна або не оновлювалась роками</w:t>
            </w:r>
          </w:p>
        </w:tc>
      </w:tr>
      <w:tr w:rsidR="00FC2EB4" w:rsidRPr="00FC2EB4" w:rsidTr="00287EF8">
        <w:trPr>
          <w:trHeight w:val="1309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50% жителів громади мають доступ до облаштованих зелених зон у межах 10 хвилин пішої ходи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зелені зони базово пристосовані для осіб з інвалідністю чи маломобільних груп населення (наприклал, є доріжки з твердим покриттям, пандуси, лавки з підлокітниками, частково - доступні туалети)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може бракувати окремих елементів доступності  (наприклад, тактильних елементів, навігації, логіки зонування)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виявлені несправності усуваються, але системного контролю або моніторингу немає</w:t>
            </w:r>
          </w:p>
        </w:tc>
      </w:tr>
      <w:tr w:rsidR="00FC2EB4" w:rsidRPr="00FC2EB4" w:rsidTr="00287EF8">
        <w:trPr>
          <w:trHeight w:val="472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населення громади мають регулярний доступ до зелених зон із комплексними елементами доступності (у радіусі 10 хв ходьби)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зелені зони облаштовані системно (наприклад, є доступні входи, доріжки з твердим, рівним покриттям, зручні лавки з підлокотниками, доступні туалети, частково – тактильна навігація, зони затінення)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забезпечено логічне зонування, зручні маршрути для осіб з різними типами порушень.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несправності усуваються оперативно</w:t>
            </w:r>
          </w:p>
        </w:tc>
      </w:tr>
      <w:tr w:rsidR="00FC2EB4" w:rsidRPr="00FC2EB4" w:rsidTr="00287EF8">
        <w:trPr>
          <w:trHeight w:val="472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житлові квартали громади мають зелені зони в межах 10-хвилинної пішої доступності, повністю облаштовані за принципами універсального дизайну.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зонах є єдоступні входи, доріжки з твердим, рівним покриттям, зручні лавки з підлокотниками, доступні туалети, тактильна навігація, зони затінення, сенсорні доріжки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елементи підтримуються в належному стані, є система регулярного технічного обслуговування та моніторингу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– зелені зони є інклюзивними, безпечними та комфортними для всіх суспільних груп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091DAD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наявності зелених зони (парки, сквери тощо) в рамках пішої доступності із відповідним облаштуванням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116"/>
        </w:trPr>
        <w:tc>
          <w:tcPr>
            <w:tcW w:w="10490" w:type="dxa"/>
            <w:gridSpan w:val="2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2. Участь мешканців у прийнятті рішень</w:t>
            </w:r>
          </w:p>
        </w:tc>
      </w:tr>
      <w:tr w:rsidR="00FC2EB4" w:rsidRPr="00FC2EB4" w:rsidTr="00287EF8">
        <w:trPr>
          <w:trHeight w:val="330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працює механізм залучення різних суспільних груп (жінок, молоді, ВПО, осіб з інвалідністю) до прийняття рішень, які стосуються життя у Вашій громаді, з рекомендованою мінімальною частотою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 раз на 1 квартал.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відповіді: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 д</w:t>
            </w:r>
          </w:p>
        </w:tc>
      </w:tr>
      <w:tr w:rsidR="00FC2EB4" w:rsidRPr="00FC2EB4" w:rsidTr="00287EF8">
        <w:trPr>
          <w:trHeight w:val="719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відсутній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 прийняття рішень, які стосуються життя у Вашій громаді</w:t>
            </w:r>
          </w:p>
        </w:tc>
      </w:tr>
      <w:tr w:rsidR="00FC2EB4" w:rsidRPr="00D977A6" w:rsidTr="00287EF8">
        <w:trPr>
          <w:trHeight w:val="99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 прийняття рішень, які стосуються життя у Вашій громаді з частотою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 раз на рік</w:t>
            </w:r>
          </w:p>
        </w:tc>
      </w:tr>
      <w:tr w:rsidR="00FC2EB4" w:rsidRPr="00D977A6" w:rsidTr="00287EF8">
        <w:trPr>
          <w:trHeight w:val="990"/>
        </w:trPr>
        <w:tc>
          <w:tcPr>
            <w:tcW w:w="567" w:type="dxa"/>
            <w:vMerge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 прийняття рішень, які стосуються життя у Вашій громаді 1 раз на 3 квартали </w:t>
            </w:r>
            <w:r w:rsidR="00FC2EB4" w:rsidRPr="00D977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D977A6" w:rsidTr="00287EF8">
        <w:trPr>
          <w:trHeight w:val="990"/>
        </w:trPr>
        <w:tc>
          <w:tcPr>
            <w:tcW w:w="567" w:type="dxa"/>
            <w:vMerge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 прийняття рішень, які стосуються життя у Вашій громаді 1 раз на 2 квартали року </w:t>
            </w:r>
          </w:p>
        </w:tc>
      </w:tr>
      <w:tr w:rsidR="00FC2EB4" w:rsidRPr="00D977A6" w:rsidTr="00287EF8">
        <w:trPr>
          <w:trHeight w:val="990"/>
        </w:trPr>
        <w:tc>
          <w:tcPr>
            <w:tcW w:w="567" w:type="dxa"/>
            <w:vMerge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сцспільних груп (жінок, молоді, ВПО, людей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 прийняття рішень, які стосуються життя у Вашій громаді 1 раз на 1 квартал року </w:t>
            </w:r>
          </w:p>
        </w:tc>
      </w:tr>
      <w:tr w:rsidR="00FC2EB4" w:rsidRPr="00D977A6" w:rsidTr="00287EF8">
        <w:trPr>
          <w:trHeight w:val="828"/>
        </w:trPr>
        <w:tc>
          <w:tcPr>
            <w:tcW w:w="567" w:type="dxa"/>
            <w:vMerge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32940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 прийняття рішень, які стосуються життя у Вашій громаді щомісячно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091DAD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наявного механізму залучення різних суспільних груп до прийняття рішень, які стосуються життя Вашої громади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Проводяться регулярні публічні консультації з питань безбар’єрності та інклюзії, з рекомендованою мінімальною частотою 1 раз на 1 квартал.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відповіді:</w:t>
            </w:r>
            <w:r w:rsidR="003A77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б</w:t>
            </w:r>
          </w:p>
        </w:tc>
      </w:tr>
      <w:tr w:rsidR="00FC2EB4" w:rsidRPr="00FC2EB4" w:rsidTr="00287EF8">
        <w:trPr>
          <w:trHeight w:val="697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відсутнє проведення регулярних публічних консультацій з питань безбар’єрності та інклюзії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FC2EB4" w:rsidTr="00287EF8">
        <w:trPr>
          <w:trHeight w:val="497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проведення публічних консультацій протягом 1-го кварталу року (1 раз на рік) </w:t>
            </w:r>
          </w:p>
        </w:tc>
      </w:tr>
      <w:tr w:rsidR="00FC2EB4" w:rsidRPr="00FC2EB4" w:rsidTr="00287EF8">
        <w:trPr>
          <w:trHeight w:val="549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проведення публічних консультацій протягом 2-х кварталів року (2 рази на рік)</w:t>
            </w:r>
          </w:p>
        </w:tc>
      </w:tr>
      <w:tr w:rsidR="00FC2EB4" w:rsidRPr="00FC2EB4" w:rsidTr="00287EF8">
        <w:trPr>
          <w:trHeight w:val="4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- проведення публічних консультацій протягом 3-х кварталів року (3 рази на рік)</w:t>
            </w:r>
          </w:p>
        </w:tc>
      </w:tr>
      <w:tr w:rsidR="00FC2EB4" w:rsidRPr="00FC2EB4" w:rsidTr="00287EF8">
        <w:trPr>
          <w:trHeight w:val="483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проведення публічних консультацій щоквартально (4 рази на рік)</w:t>
            </w:r>
          </w:p>
        </w:tc>
      </w:tr>
      <w:tr w:rsidR="00FC2EB4" w:rsidRPr="00FC2EB4" w:rsidTr="00287EF8">
        <w:trPr>
          <w:trHeight w:val="494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проведення публічних консультацій щомісячно </w:t>
            </w:r>
          </w:p>
        </w:tc>
      </w:tr>
      <w:tr w:rsidR="00FC2EB4" w:rsidRPr="00FC2EB4" w:rsidTr="00287EF8">
        <w:trPr>
          <w:trHeight w:val="517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091DAD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proofErr w:type="gramStart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Додайте, будь ласка, протокол/звіт за результатами проведених публічних консультацій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  <w:proofErr w:type="gramEnd"/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Представники різних суспільних груп населення, що проживають у громаді, входять до складу дорадчих органів. </w:t>
            </w:r>
            <w:r w:rsidR="00F32940" w:rsidRPr="00C55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Виберіть один з варіантів </w:t>
            </w:r>
            <w:proofErr w:type="gramStart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</w:t>
            </w:r>
            <w:proofErr w:type="gramEnd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ідповіді: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г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відсутня залученість представників різних суспільних груп населення, що проживають у громаді до складу дорадчих органів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менше 25%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понад 25%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понад 50%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понад 75%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100% представників різних суспільних груп населення, що проживають у громаді до складу дорадчих органів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091DAD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кількості та відсоткового коефіцієнту представників різних суспільних груп населення, що входять до складу дорадчих органів у Вашій громаді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діє програма/програми підтримки ініціатив мешканців (фінансування за кошти донорів проєктів МТД).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ні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091DAD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або ж активне посилання на таку програму/програми, а також документальне підтвердження результатів наданої підтримки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923" w:type="dxa"/>
            <w:hideMark/>
          </w:tcPr>
          <w:p w:rsidR="00FC2EB4" w:rsidRPr="003A770E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забезпечено опублікування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ічного звіту громади щодо бюджетування у відкритому доступі.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3A77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так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091DAD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активне посилання на опублікований річний звіт Вашої громади щодо бюджетування у відкритому доступі (за попередній звітний період або за поточний у разі </w:t>
            </w: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lastRenderedPageBreak/>
              <w:t xml:space="preserve">наявності).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9923" w:type="dxa"/>
            <w:hideMark/>
          </w:tcPr>
          <w:p w:rsidR="00FC2EB4" w:rsidRPr="00C9429A" w:rsidRDefault="00FC2EB4" w:rsidP="00C9429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забезпечено проведення відкритих слухань громади щодо місцевих проєктів розвитку. </w:t>
            </w:r>
            <w:r w:rsidR="00F32940" w:rsidRPr="00C55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г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не проводиться відкритих слухань громади щодо місцевих проєктів розвитку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1 відкрите слухання громади щодо місцевих проєктів розвитку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2-3 відкритих слухань громади щодо місцевих проєктів розвитку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4-5 відкритих слухань громади щодо місцевих проєктів розвитку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6-9 відкритих слухань громади щодо місцевих проєктів розвитку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10 і більше відкритих слухань громади щодо місцевих проєктів розвитку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протокол/звіт за результатами проведення відкритих слухань громади щодо місцевих проєктів розвитку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  <w:proofErr w:type="gramEnd"/>
          </w:p>
        </w:tc>
      </w:tr>
      <w:tr w:rsidR="00FC2EB4" w:rsidRPr="00FC2EB4" w:rsidTr="00287EF8">
        <w:trPr>
          <w:trHeight w:val="330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923" w:type="dxa"/>
            <w:hideMark/>
          </w:tcPr>
          <w:p w:rsidR="00FC2EB4" w:rsidRPr="00C9429A" w:rsidRDefault="00FC2EB4" w:rsidP="00C9429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Громада залучає зовнішнє фінансування, таке як гранти та пільгове фінансування від міжнародних партнерів.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б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громада не залучає зовнішнє фінансування таке як гранти та пільгове фінансування від міжнародних партнерів</w:t>
            </w:r>
          </w:p>
        </w:tc>
      </w:tr>
      <w:tr w:rsidR="00FC2EB4" w:rsidRPr="00FC2EB4" w:rsidTr="00287EF8">
        <w:trPr>
          <w:trHeight w:val="511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вищевказане зовнішнє фінансування складає менше 25% від бюджету </w:t>
            </w:r>
          </w:p>
        </w:tc>
      </w:tr>
      <w:tr w:rsidR="00FC2EB4" w:rsidRPr="00FC2EB4" w:rsidTr="00287EF8">
        <w:trPr>
          <w:trHeight w:val="55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вищевказане зовнішнє фінансування складає понад 25% від бюджету </w:t>
            </w:r>
          </w:p>
        </w:tc>
      </w:tr>
      <w:tr w:rsidR="00FC2EB4" w:rsidRPr="00FC2EB4" w:rsidTr="00287EF8">
        <w:trPr>
          <w:trHeight w:val="4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 вищевказане зовнішнє фінансування складає понад 50% від бюджету</w:t>
            </w:r>
          </w:p>
        </w:tc>
      </w:tr>
      <w:tr w:rsidR="00FC2EB4" w:rsidRPr="00FC2EB4" w:rsidTr="00287EF8">
        <w:trPr>
          <w:trHeight w:val="483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вищевказане зовнішнє фінансування складає понад 75% від бюджету</w:t>
            </w:r>
          </w:p>
        </w:tc>
      </w:tr>
      <w:tr w:rsidR="00FC2EB4" w:rsidRPr="00FC2EB4" w:rsidTr="00287EF8">
        <w:trPr>
          <w:trHeight w:val="393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вищевказане зовнішнє фінансування складає 100% від бюджету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залучення зовнішнього фінансування, а також зазначте який відсоток від місцевого бюджету воно складає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 є наявними громадські організації, що займаються підтримкою осіб з інвалідністю.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г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немає наявних громадських організацій, що займаються підтримкою осіб з інвалідністю </w:t>
            </w:r>
          </w:p>
        </w:tc>
      </w:tr>
      <w:tr w:rsidR="00FC2EB4" w:rsidRPr="00FC2EB4" w:rsidTr="00287EF8">
        <w:trPr>
          <w:trHeight w:val="472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наявна 1 громадська організація, що займається підтримкою осіб з інвалідністю </w:t>
            </w:r>
          </w:p>
        </w:tc>
      </w:tr>
      <w:tr w:rsidR="00FC2EB4" w:rsidRPr="00FC2EB4" w:rsidTr="00287EF8">
        <w:trPr>
          <w:trHeight w:val="58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наявні 2-3 громадські організації, що займаються підтримкою осіб з інвалідністю 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наявні 4-5 громадських організацій, що займаються підтримкою осіб з інвалідністю 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наявні 6-9 громадських організацій, що займаються підтримкою осіб з інвалідністю 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наявні 10 і більше громадських організацій, що займаються підтримкою осіб з інвалідністю </w:t>
            </w:r>
          </w:p>
        </w:tc>
      </w:tr>
      <w:tr w:rsidR="00FC2EB4" w:rsidRPr="00D977A6" w:rsidTr="00287EF8">
        <w:trPr>
          <w:trHeight w:val="513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перелік громадських організацій з назвами, що займаються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ідтримкою осіб з інвалідністю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інформацію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30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923" w:type="dxa"/>
            <w:hideMark/>
          </w:tcPr>
          <w:p w:rsidR="00FC2EB4" w:rsidRPr="003A770E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наявна місцева Рада безбарʼєрності та проводяться засідання протягом року. </w:t>
            </w:r>
            <w:r w:rsidR="00F32940" w:rsidRPr="00C55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  <w:r w:rsidR="003A77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</w:t>
            </w:r>
          </w:p>
        </w:tc>
      </w:tr>
      <w:tr w:rsidR="00FC2EB4" w:rsidRPr="00FC2EB4" w:rsidTr="00287EF8">
        <w:trPr>
          <w:trHeight w:val="573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відсутня Рада Безбар'єрності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FC2EB4" w:rsidRPr="00FC2EB4" w:rsidTr="00287EF8">
        <w:trPr>
          <w:trHeight w:val="398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одного засідання протягом року (1 раз на рік)</w:t>
            </w:r>
          </w:p>
        </w:tc>
      </w:tr>
      <w:tr w:rsidR="00FC2EB4" w:rsidRPr="00FC2EB4" w:rsidTr="00287EF8">
        <w:trPr>
          <w:trHeight w:val="349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одного засідання 2 рази на рік (раз на рів року)</w:t>
            </w:r>
          </w:p>
        </w:tc>
      </w:tr>
      <w:tr w:rsidR="00FC2EB4" w:rsidRPr="00FC2EB4" w:rsidTr="00287EF8">
        <w:trPr>
          <w:trHeight w:val="329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одного засідання 3 рази на рік</w:t>
            </w:r>
          </w:p>
        </w:tc>
      </w:tr>
      <w:tr w:rsidR="00FC2EB4" w:rsidRPr="00FC2EB4" w:rsidTr="00287EF8">
        <w:trPr>
          <w:trHeight w:val="423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одного засідання щоквартально (4 рази на рік)</w:t>
            </w:r>
          </w:p>
        </w:tc>
      </w:tr>
      <w:tr w:rsidR="00FC2EB4" w:rsidRPr="00FC2EB4" w:rsidTr="00287EF8">
        <w:trPr>
          <w:trHeight w:val="389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засідань більше 4-х разів на рік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проведення місцево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ї Р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ади безбар'єрності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</w:t>
            </w:r>
            <w:r w:rsidR="003A770E">
              <w:t xml:space="preserve"> </w:t>
            </w:r>
            <w:r w:rsidR="003A770E" w:rsidRPr="003A770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/>
              </w:rPr>
              <w:t>https</w:t>
            </w:r>
            <w:r w:rsidR="003A770E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ru-RU"/>
              </w:rPr>
              <w:t>://</w:t>
            </w:r>
            <w:r w:rsidR="003A770E" w:rsidRPr="003A770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/>
              </w:rPr>
              <w:t>rada</w:t>
            </w:r>
            <w:r w:rsidR="003A770E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ru-RU"/>
              </w:rPr>
              <w:t>.</w:t>
            </w:r>
            <w:r w:rsidR="003A770E" w:rsidRPr="003A770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/>
              </w:rPr>
              <w:t>info</w:t>
            </w:r>
            <w:r w:rsidR="003A770E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ru-RU"/>
              </w:rPr>
              <w:t>/</w:t>
            </w:r>
            <w:r w:rsidR="003A770E" w:rsidRPr="003A770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/>
              </w:rPr>
              <w:t>upload</w:t>
            </w:r>
            <w:r w:rsidR="003A770E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ru-RU"/>
              </w:rPr>
              <w:t>/</w:t>
            </w:r>
            <w:r w:rsidR="003A770E" w:rsidRPr="003A770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/>
              </w:rPr>
              <w:t>users</w:t>
            </w:r>
            <w:r w:rsidR="003A770E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ru-RU"/>
              </w:rPr>
              <w:t>_</w:t>
            </w:r>
            <w:r w:rsidR="003A770E" w:rsidRPr="003A770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/>
              </w:rPr>
              <w:t>files</w:t>
            </w:r>
            <w:r w:rsidR="003A770E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ru-RU"/>
              </w:rPr>
              <w:t>/04326224/</w:t>
            </w:r>
            <w:r w:rsidR="003A770E" w:rsidRPr="003A770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/>
              </w:rPr>
              <w:t>d</w:t>
            </w:r>
            <w:r w:rsidR="003A770E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ru-RU"/>
              </w:rPr>
              <w:t>94456</w:t>
            </w:r>
            <w:r w:rsidR="003A770E" w:rsidRPr="003A770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/>
              </w:rPr>
              <w:t>df</w:t>
            </w:r>
            <w:r w:rsidR="003A770E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ru-RU"/>
              </w:rPr>
              <w:t>6</w:t>
            </w:r>
            <w:r w:rsidR="003A770E" w:rsidRPr="003A770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/>
              </w:rPr>
              <w:t>f</w:t>
            </w:r>
            <w:r w:rsidR="003A770E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ru-RU"/>
              </w:rPr>
              <w:t>55</w:t>
            </w:r>
            <w:r w:rsidR="003A770E" w:rsidRPr="003A770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/>
              </w:rPr>
              <w:t>a</w:t>
            </w:r>
            <w:r w:rsidR="003A770E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ru-RU"/>
              </w:rPr>
              <w:t>3</w:t>
            </w:r>
            <w:r w:rsidR="003A770E" w:rsidRPr="003A770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/>
              </w:rPr>
              <w:t>a</w:t>
            </w:r>
            <w:r w:rsidR="003A770E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ru-RU"/>
              </w:rPr>
              <w:t>16</w:t>
            </w:r>
            <w:r w:rsidR="003A770E" w:rsidRPr="003A770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/>
              </w:rPr>
              <w:t>adfae</w:t>
            </w:r>
            <w:r w:rsidR="003A770E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ru-RU"/>
              </w:rPr>
              <w:t>391440</w:t>
            </w:r>
            <w:r w:rsidR="003A770E" w:rsidRPr="003A770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/>
              </w:rPr>
              <w:t>dbc</w:t>
            </w:r>
            <w:r w:rsidR="003A770E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ru-RU"/>
              </w:rPr>
              <w:t>1.</w:t>
            </w:r>
            <w:r w:rsidR="003A770E" w:rsidRPr="003A770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/>
              </w:rPr>
              <w:t>pdf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новину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268"/>
        </w:trPr>
        <w:tc>
          <w:tcPr>
            <w:tcW w:w="10490" w:type="dxa"/>
            <w:gridSpan w:val="2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3. Стійкість громади </w:t>
            </w:r>
          </w:p>
        </w:tc>
      </w:tr>
      <w:tr w:rsidR="00FC2EB4" w:rsidRPr="00FC2EB4" w:rsidTr="00287EF8">
        <w:trPr>
          <w:trHeight w:val="330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923" w:type="dxa"/>
            <w:hideMark/>
          </w:tcPr>
          <w:p w:rsidR="00FC2EB4" w:rsidRPr="00F54DD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проводиться  щорічне громадське опитування щодо потреб мешканців.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</w:t>
            </w:r>
            <w:proofErr w:type="gramEnd"/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так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495"/>
        </w:trPr>
        <w:tc>
          <w:tcPr>
            <w:tcW w:w="567" w:type="dxa"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посилання на результати проведеного щорічного громадського опитування щодо потреб мешканців у Вашій громаді 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923" w:type="dxa"/>
            <w:hideMark/>
          </w:tcPr>
          <w:p w:rsidR="00FC2EB4" w:rsidRPr="003A770E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наявний власний план дій (план евакуації) на випадок надзвичайних ситуацій.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3A77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так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наявного власного плану дій Вашої громади (план евакуації) на випадок надзвичайних ситуацій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lastRenderedPageBreak/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план дій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9923" w:type="dxa"/>
            <w:hideMark/>
          </w:tcPr>
          <w:p w:rsidR="00FC2EB4" w:rsidRPr="00217800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ізні суспільні групи населення, що проживають у громаді, включені у план дій громади на випадок надзвичайних ситуацій.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 </w:t>
            </w:r>
            <w:r w:rsidR="00217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так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плану дій Вашої громади на випадок надзвичайних ситуацій, де включено різні суспільні групи населення, що проживають у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план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30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тренінги або навчання з безпеки життєдіяльності для мешканців (протягом року). </w:t>
            </w:r>
            <w:r w:rsidR="00F32940" w:rsidRPr="00C55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г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не проводяться тренінги  або навчання з безпеки життєдіяльності для мешканців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1 тренінг та навчання з безпеки життєдіяльності на рік 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проводиться 2-3 тренінги та навчання з безпеки життєдіяльності на рік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проводиться 4-5 тренінгів та навчань з безпеки життєдіяльності на рік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6-9 тренінгів та навчань з безпеки життєдіяльності на рік 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регулярно проводиться 10 і більше тренінгів та навчань з безпеки життєдіяльності на рік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буль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кількості проведених тренінгів або навчань з безпеки життєдіяльності для мешканців, що проводяться протягом року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30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Наявні договори/меморандуми з містами-побратимами (договори співпраці з іншим містом/містами).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так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593"/>
        </w:trPr>
        <w:tc>
          <w:tcPr>
            <w:tcW w:w="567" w:type="dxa"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перелік таких договорів/меморандумів, а також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їхньої наявності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30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3" w:type="dxa"/>
            <w:hideMark/>
          </w:tcPr>
          <w:p w:rsidR="00FC2EB4" w:rsidRPr="003A770E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 забезпечено доступ до укритті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для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осіб з порушеннями опорно-рухового апарату, зору, слуху. </w:t>
            </w:r>
            <w:r w:rsidR="00F32940" w:rsidRPr="00C55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  <w:r w:rsidR="003A77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відсутні забезпечені належним доступом укриття для осіб з порушеннями опорно-рухового апарату, зору, слуху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доступом менше 25% укриттів для осіб з порушеннями опорно-рухового апарату, зору, слуху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доступом понад 25% укриттів для осіб з порушеннями опорно-рухового апарату, зору, слуху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доступом понад 50% укриттів для осіб з порушеннями опорно-рухового апарату, зору, слуху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забезпечено доступом понад 75% укриттів для осіб з порушеннями опорно-рухового апарату, зору, слуху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забезпечено доступом 100% укриттів для осіб з порушеннями опорно-рухового апарату, зору, слуху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Вкажіть, будь ласка, загальну кількість облаштованих укриттів та надайте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облаштувань (фотозвіт)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923" w:type="dxa"/>
            <w:hideMark/>
          </w:tcPr>
          <w:p w:rsidR="00FC2EB4" w:rsidRPr="00217800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розміщена інформація про евакуацію в доступних форматах (проста (спрощена) мова, шрифт Брайля, відео з перекладом жестовою мовою тощо).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  <w:r w:rsidR="00217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ні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прикладів такого розміщення інформації у Вашій громаді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Громаду забезпечено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соц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іальним житлом або доступними для оренди квартирами різні суспільні групи мешканців (особи старшого віку, ВПО, особи з інвалідністю) відповідно до визначених потреб. </w:t>
            </w:r>
            <w:r w:rsidR="00F32940" w:rsidRPr="00C55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а</w:t>
            </w:r>
          </w:p>
        </w:tc>
      </w:tr>
      <w:tr w:rsidR="00FC2EB4" w:rsidRPr="00FC2EB4" w:rsidTr="00287EF8">
        <w:trPr>
          <w:trHeight w:val="100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не забезпечено соціального житла або доступних для оренди квартир для різних суспільних груп мешканців (особи старшого віку, ВПО, особи з інвалідністю) відповідно до визначених потреб </w:t>
            </w:r>
          </w:p>
        </w:tc>
      </w:tr>
      <w:tr w:rsidR="00FC2EB4" w:rsidRPr="00FC2EB4" w:rsidTr="00287EF8">
        <w:trPr>
          <w:trHeight w:val="99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забезпечено менше 25% соціального житла або доступних для оренди квартир різні суспільні групи мешканців (особи старшого віку, ВПО, особи з інвалідністю) відповідно до визначених потреб </w:t>
            </w:r>
          </w:p>
        </w:tc>
      </w:tr>
      <w:tr w:rsidR="00FC2EB4" w:rsidRPr="00FC2EB4" w:rsidTr="00287EF8">
        <w:trPr>
          <w:trHeight w:val="99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забезпечено понад 25% соціального житла або доступних для оренди квартир різні суспільні групи мешканців (особи старшого віку, ВПО, особи з інвалідністю) відповідно до визначених потреб </w:t>
            </w:r>
          </w:p>
        </w:tc>
      </w:tr>
      <w:tr w:rsidR="00FC2EB4" w:rsidRPr="00FC2EB4" w:rsidTr="00287EF8">
        <w:trPr>
          <w:trHeight w:val="99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забезпечено понад 50% соціального житла або доступних для оренди квартир різні суспільні групи мешканців (особи старшого віку, ВПО, особи з інвалідністю) відповідно до визначених потреб </w:t>
            </w:r>
          </w:p>
        </w:tc>
      </w:tr>
      <w:tr w:rsidR="00FC2EB4" w:rsidRPr="00FC2EB4" w:rsidTr="00287EF8">
        <w:trPr>
          <w:trHeight w:val="99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забезпечено понад 75% соціального житла або доступних для оренди квартир різні суспільні групи населення (особи старшого віку, ВПО, особи з інвалідністю) відповідно до визначених потреб </w:t>
            </w:r>
          </w:p>
        </w:tc>
      </w:tr>
      <w:tr w:rsidR="00FC2EB4" w:rsidRPr="00FC2EB4" w:rsidTr="00287EF8">
        <w:trPr>
          <w:trHeight w:val="100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 у громаді забезпечено 100% соціального житла або доступних для оренди квартир різні суспільні групи населення (особи старшого віку, ВПО, особи з інвалідністю) відповідно до визначених потреб </w:t>
            </w:r>
          </w:p>
        </w:tc>
      </w:tr>
      <w:tr w:rsidR="00FC2EB4" w:rsidRPr="00D977A6" w:rsidTr="00287EF8">
        <w:trPr>
          <w:trHeight w:val="675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Вкажіть, будь ласка, точну кількість такого житла, яким забезпечено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ізні соціальні групи населення (особи старшого віку, ВПО, особи з інвалідністю) відповідно до визначених потреб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30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реалізуються програми підтримки різних суспільних груп населення (особи старшого віку, ВПО, особи з інвалідністю).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так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439"/>
        </w:trPr>
        <w:tc>
          <w:tcPr>
            <w:tcW w:w="567" w:type="dxa"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к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таких програм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програми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Населення громади охоплено послугами первинної медичної допомоги, включно з населенням віддалених районів громади. </w:t>
            </w:r>
            <w:r w:rsidR="00F32940" w:rsidRPr="00C55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е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населення громади не охоплено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охоплено менше 25% населення громади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охоплено понад 25% населення громади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охоплено понад 50% населення громади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охоплено понад 75% населення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 у громаді охоплено 100% населення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відсоткового коефіцієнта охоплення населення громади послугами первинної медичної допомоги, включно з населенням віддалених районів Вашої громади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30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 громаді наявні відповідні інституції, що забезпечують інтереси осіб з різними функціональними порушеннями (центри підтримки, центри життєстійкості тощо).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</w:t>
            </w:r>
          </w:p>
        </w:tc>
      </w:tr>
      <w:tr w:rsidR="00FC2EB4" w:rsidRPr="00FC2EB4" w:rsidTr="00287EF8">
        <w:trPr>
          <w:trHeight w:val="100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- у громаді відсутні відповідні інституції, що забезпечують інтереси осіб з різними функціональними порушеннями (центри підтримки, центри життєстійкості тощо)</w:t>
            </w:r>
          </w:p>
        </w:tc>
      </w:tr>
      <w:tr w:rsidR="00FC2EB4" w:rsidRPr="00FC2EB4" w:rsidTr="00287EF8">
        <w:trPr>
          <w:trHeight w:val="473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- послугами вищевказаних інституцій охоплено менше 25% населення громади </w:t>
            </w:r>
          </w:p>
        </w:tc>
      </w:tr>
      <w:tr w:rsidR="00FC2EB4" w:rsidRPr="00FC2EB4" w:rsidTr="00287EF8">
        <w:trPr>
          <w:trHeight w:val="51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послугами вищевказаних інституцій охоплено понад 25% населення громади </w:t>
            </w:r>
          </w:p>
        </w:tc>
      </w:tr>
      <w:tr w:rsidR="00FC2EB4" w:rsidRPr="00FC2EB4" w:rsidTr="00287EF8">
        <w:trPr>
          <w:trHeight w:val="547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послугами вищевказаних інституцій охоплено понад 50% населення громади </w:t>
            </w:r>
          </w:p>
        </w:tc>
      </w:tr>
      <w:tr w:rsidR="00FC2EB4" w:rsidRPr="00FC2EB4" w:rsidTr="00287EF8">
        <w:trPr>
          <w:trHeight w:val="429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послугами вищевказаних інституцій охоплено понад 75% населення громади </w:t>
            </w:r>
          </w:p>
        </w:tc>
      </w:tr>
      <w:tr w:rsidR="00FC2EB4" w:rsidRPr="00FC2EB4" w:rsidTr="00287EF8">
        <w:trPr>
          <w:trHeight w:val="481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послугами вищевказаних інституцій охоплено 100% населення громади </w:t>
            </w:r>
          </w:p>
        </w:tc>
      </w:tr>
      <w:tr w:rsidR="00FC2EB4" w:rsidRPr="00D977A6" w:rsidTr="00287EF8">
        <w:trPr>
          <w:trHeight w:val="675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перелік наявних відповідних інституцій, що забезпечують інтереси осіб з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ізними функціональними порушеннями (центри підтримки, центри життєстійкості тощо)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3" w:type="dxa"/>
            <w:hideMark/>
          </w:tcPr>
          <w:p w:rsidR="00FC2EB4" w:rsidRPr="00217800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рівень безпеки в різних районах міста є приблизно однаковим.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  </w:t>
            </w:r>
            <w:r w:rsidR="00217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так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552"/>
        </w:trPr>
        <w:tc>
          <w:tcPr>
            <w:tcW w:w="567" w:type="dxa"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безпекової ситуації в різних районах міста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30"/>
        </w:trPr>
        <w:tc>
          <w:tcPr>
            <w:tcW w:w="567" w:type="dxa"/>
            <w:vMerge w:val="restart"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впроваджуються ініціативи сталого розвитку, які включено до стратегії громади.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так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389"/>
        </w:trPr>
        <w:tc>
          <w:tcPr>
            <w:tcW w:w="567" w:type="dxa"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перелік таких ініціатив, а також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їхньої наявності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45"/>
        </w:trPr>
        <w:tc>
          <w:tcPr>
            <w:tcW w:w="10490" w:type="dxa"/>
            <w:gridSpan w:val="2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4. Освітня безбар'єрність</w:t>
            </w:r>
          </w:p>
        </w:tc>
      </w:tr>
      <w:tr w:rsidR="00FC2EB4" w:rsidRPr="00FC2EB4" w:rsidTr="00287EF8">
        <w:trPr>
          <w:trHeight w:val="330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разі звернення батьків дитини з ООП або осіб, що їх замінюють, в громаді створюється інклюзивний клас.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е</w:t>
            </w:r>
          </w:p>
        </w:tc>
      </w:tr>
      <w:tr w:rsidR="00FC2EB4" w:rsidRPr="00FC2EB4" w:rsidTr="00287EF8">
        <w:trPr>
          <w:trHeight w:val="382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 всі звернення ігноруються або залишаються без реагування </w:t>
            </w:r>
          </w:p>
        </w:tc>
      </w:tr>
      <w:tr w:rsidR="00FC2EB4" w:rsidRPr="00FC2EB4" w:rsidTr="00287EF8">
        <w:trPr>
          <w:trHeight w:val="504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інклюзивні класи створюються в поодиноких випадках (менше 25% від поданих заяв)</w:t>
            </w:r>
          </w:p>
        </w:tc>
      </w:tr>
      <w:tr w:rsidR="00FC2EB4" w:rsidRPr="00FC2EB4" w:rsidTr="00287EF8">
        <w:trPr>
          <w:trHeight w:val="47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інклюзивні класи створюються в понад 25% випадків від поданих заяв</w:t>
            </w:r>
          </w:p>
        </w:tc>
      </w:tr>
      <w:tr w:rsidR="00FC2EB4" w:rsidRPr="00FC2EB4" w:rsidTr="00287EF8">
        <w:trPr>
          <w:trHeight w:val="422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інклюзивні класи створюються в понад 50% випадків від поданих заяв</w:t>
            </w:r>
          </w:p>
        </w:tc>
      </w:tr>
      <w:tr w:rsidR="00FC2EB4" w:rsidRPr="00FC2EB4" w:rsidTr="00287EF8">
        <w:trPr>
          <w:trHeight w:val="529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інклюзивні класи створюються в понад 75% випадків від поданих заяв</w:t>
            </w:r>
          </w:p>
        </w:tc>
      </w:tr>
      <w:tr w:rsidR="00FC2EB4" w:rsidRPr="00FC2EB4" w:rsidTr="00287EF8">
        <w:trPr>
          <w:trHeight w:val="386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інклюзивні класи створюються в 100% випадків від поданих заяв</w:t>
            </w:r>
          </w:p>
        </w:tc>
      </w:tr>
      <w:tr w:rsidR="00FC2EB4" w:rsidRPr="00D977A6" w:rsidTr="00287EF8">
        <w:trPr>
          <w:trHeight w:val="675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випадків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ідкриття інклюзивних класів за заявами ибатьків або осіб, що їх замінюють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Здобувачі освіти та їхні батьки (особи, що їх замінюють) поінформовані про право на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 xml:space="preserve">інклюзивне навчання в громаді.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е</w:t>
            </w:r>
          </w:p>
        </w:tc>
      </w:tr>
      <w:tr w:rsidR="00FC2EB4" w:rsidRPr="00FC2EB4" w:rsidTr="00287EF8">
        <w:trPr>
          <w:trHeight w:val="58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– жодних інформаційних заходів  не проводиться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офіційна інформація відсутня</w:t>
            </w:r>
          </w:p>
        </w:tc>
      </w:tr>
      <w:tr w:rsidR="00FC2EB4" w:rsidRPr="00FC2EB4" w:rsidTr="00287EF8">
        <w:trPr>
          <w:trHeight w:val="99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інформаційні заходи не охоплюють більшість здобувачів та їхніх батьків (менше 25%)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можуть ьути випадки, коли реалізуються поодинокі заходи (наприклад, надсилається одне повідомлення на початку навчального року)</w:t>
            </w:r>
          </w:p>
        </w:tc>
      </w:tr>
      <w:tr w:rsidR="00FC2EB4" w:rsidRPr="00FC2EB4" w:rsidTr="00287EF8">
        <w:trPr>
          <w:trHeight w:val="1162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інформаційні заходи охоплюють понад 25% здобувачів освіти та їхніх батьків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заходи проводяться без системності (наприклад окрім повідомлень, також проводяться 1-2 очні зустрічі  або консультації в окремих класах протягом навчального року)</w:t>
            </w:r>
          </w:p>
        </w:tc>
      </w:tr>
      <w:tr w:rsidR="00FC2EB4" w:rsidRPr="00FC2EB4" w:rsidTr="00287EF8">
        <w:trPr>
          <w:trHeight w:val="132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інформацію отримують більшість здобувачів освіти та їхніх батьків (понад 50%)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заходи реалізовуються, проте без охоплення всіх форм комунікації  (наприклад, 3-4 рази протягом навчального року проводяться особисті зустрічі, батьківські збори, вебінари) </w:t>
            </w:r>
          </w:p>
        </w:tc>
      </w:tr>
      <w:tr w:rsidR="00FC2EB4" w:rsidRPr="00FC2EB4" w:rsidTr="00287EF8">
        <w:trPr>
          <w:trHeight w:val="132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інфомацією охоплено майже всіх здобувачів освіти та їхніх батьків (понад 75%)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реалізовано системне інформування (наприклад, через сайти, адміністрацію та педпрацівників закладів освіти (в т.ч. через месенджери), працівників ІРЦ (у разі зверення))</w:t>
            </w:r>
          </w:p>
        </w:tc>
      </w:tr>
      <w:tr w:rsidR="00FC2EB4" w:rsidRPr="00FC2EB4" w:rsidTr="00287EF8">
        <w:trPr>
          <w:trHeight w:val="1092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широке охоплення аудиторії (100 %)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реалізовано системне інформування (наприклад, через різні канали, регулярне оновлення, доступні консультації для батьків, також отримується зворотний зв’язок від батьків)</w:t>
            </w:r>
          </w:p>
        </w:tc>
      </w:tr>
      <w:tr w:rsidR="00FC2EB4" w:rsidRPr="00D977A6" w:rsidTr="00287EF8">
        <w:trPr>
          <w:trHeight w:val="675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ідтвредження розрахунку відсотків поінформованості здобувачів освіти та їхніх батьків (осіб, що їх замінюють) про право на інклюзивне навчання в громаді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30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школи/садочки доступні для дітей з порушеннями опорно-рухового апарату. </w:t>
            </w:r>
            <w:r w:rsidR="00F32940" w:rsidRPr="00C55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г</w:t>
            </w:r>
          </w:p>
        </w:tc>
      </w:tr>
      <w:tr w:rsidR="00FC2EB4" w:rsidRPr="00FC2EB4" w:rsidTr="00287EF8">
        <w:trPr>
          <w:trHeight w:val="507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жоден заклад освіти не пристосований (відсутні пандуси, підйомники, широкі проходи)</w:t>
            </w:r>
          </w:p>
        </w:tc>
      </w:tr>
      <w:tr w:rsidR="00FC2EB4" w:rsidRPr="00FC2EB4" w:rsidTr="00287EF8">
        <w:trPr>
          <w:trHeight w:val="99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окремі школи/садочки частково адаптовані, проте без системного підходу (менше 25%)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можливими є також випадки, при яких досить часто адаптації не відповідають вимогам або не підтримуються у справному стані</w:t>
            </w:r>
          </w:p>
        </w:tc>
      </w:tr>
      <w:tr w:rsidR="00FC2EB4" w:rsidRPr="00FC2EB4" w:rsidTr="00287EF8">
        <w:trPr>
          <w:trHeight w:val="473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25% закладів освіти мають часткові адаптації, проте без системного підходу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можливими є також випадки, при яких алаптації не завжди відповідають вимогам або не підтримуються у справному стані</w:t>
            </w:r>
          </w:p>
        </w:tc>
      </w:tr>
      <w:tr w:rsidR="00FC2EB4" w:rsidRPr="00FC2EB4" w:rsidTr="00287EF8">
        <w:trPr>
          <w:trHeight w:val="99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закладів освіти доступні для дітей з порушеннями ОРА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можливими є також випадки при яких можуть бути недоопрацьовані окремі елементи або незручна організація простору </w:t>
            </w:r>
          </w:p>
        </w:tc>
      </w:tr>
      <w:tr w:rsidR="00FC2EB4" w:rsidRPr="00FC2EB4" w:rsidTr="00287EF8">
        <w:trPr>
          <w:trHeight w:val="99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закладів адаптовано комплексно (пандуси, підйомники, широкі проходи, доступні санвузли, наявна певна організація простору)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всі адаптації справні, ремонт та оновлення відбувається без затримок </w:t>
            </w:r>
          </w:p>
        </w:tc>
      </w:tr>
      <w:tr w:rsidR="00FC2EB4" w:rsidRPr="00FC2EB4" w:rsidTr="00287EF8">
        <w:trPr>
          <w:trHeight w:val="1138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закладів забезпечено відповідною інфраструктурою, простір закладу логічно зоновано з урахуванням принципів універсального дизайну та розумного пристосування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при ремонтах і реконструкціях враховуються потреби всіх дітей з ООП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ідтвредження розрахунку відсотків доступності шкіл/садочів для дітей з порушеннями опорно-рухового апарату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30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закладах освіти громади наявне кадрове забезпечення для навчання дітей з ООП. </w:t>
            </w:r>
            <w:r w:rsidR="00F32940" w:rsidRPr="00C55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е</w:t>
            </w:r>
          </w:p>
        </w:tc>
      </w:tr>
      <w:tr w:rsidR="00FC2EB4" w:rsidRPr="00FC2EB4" w:rsidTr="00287EF8">
        <w:trPr>
          <w:trHeight w:val="386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кадрове забезпечення  для реалізації інклюзивного навчання відсутнє </w:t>
            </w:r>
          </w:p>
        </w:tc>
      </w:tr>
      <w:tr w:rsidR="00FC2EB4" w:rsidRPr="00FC2EB4" w:rsidTr="00287EF8">
        <w:trPr>
          <w:trHeight w:val="63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заклади освіти забезпечені необхідними кадрами на рівні 25%  (наприклад, лище в окремих випадках призначено асистента дитини)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79274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заклади освіти частково забезпечені кадрами (понад 25%) (напрклад, спостерігається нестача асистентів вчителя та дитини, велика плинність кадрів)</w:t>
            </w:r>
          </w:p>
        </w:tc>
      </w:tr>
      <w:tr w:rsidR="00FC2EB4" w:rsidRPr="00FC2EB4" w:rsidTr="00287EF8">
        <w:trPr>
          <w:trHeight w:val="803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заклади освіти забезпечені кадрами на рівні понад 50% (напрклад, системна робота ведеться, але потребує розширення: не всі діти з ООП забезпечені супроводом)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кадрове забезпечення підтримується на рівні понад 75% (педагоги проходять навчання, є підтримка ІРЦ,  висока кадрова стабільність)</w:t>
            </w:r>
          </w:p>
        </w:tc>
      </w:tr>
      <w:tr w:rsidR="00FC2EB4" w:rsidRPr="00FC2EB4" w:rsidTr="00287EF8">
        <w:trPr>
          <w:trHeight w:val="100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заклади на 100% кадрово забезпечений (напркилад, у громаді функціонує налагоджена модель кадрового супроводу, що включає асистентів, фахівців ІРЦ, системне навчання та заохочення педагогів)</w:t>
            </w:r>
          </w:p>
        </w:tc>
      </w:tr>
      <w:tr w:rsidR="00FC2EB4" w:rsidRPr="00FC2EB4" w:rsidTr="00287EF8">
        <w:trPr>
          <w:trHeight w:val="491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ідтвредження розрахунку відсотків кадрового забезпечення для навчання дітей з ООП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закладах освіти громади забезпечено дистанційну форму здобуття освіти. </w:t>
            </w:r>
            <w:r w:rsidR="00F32940" w:rsidRPr="00C55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е</w:t>
            </w:r>
          </w:p>
        </w:tc>
      </w:tr>
      <w:tr w:rsidR="00FC2EB4" w:rsidRPr="00FC2EB4" w:rsidTr="00287EF8">
        <w:trPr>
          <w:trHeight w:val="100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відсутній будь-який доступ до дистанційного навчання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також можливим є варіант, коли в закладах освіти відсутня технічна та/або організаційна можливість організації дистанційного навчання </w:t>
            </w:r>
          </w:p>
        </w:tc>
      </w:tr>
      <w:tr w:rsidR="00FC2EB4" w:rsidRPr="00FC2EB4" w:rsidTr="00287EF8">
        <w:trPr>
          <w:trHeight w:val="756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дистанційна освіта доступна лише вибірково (менше 25% учнів громади)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також можливим є варіант, коли відсутня технічна підтримка з боку закладу освіти </w:t>
            </w:r>
          </w:p>
        </w:tc>
      </w:tr>
      <w:tr w:rsidR="00FC2EB4" w:rsidRPr="00FC2EB4" w:rsidTr="00287EF8">
        <w:trPr>
          <w:trHeight w:val="99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25% здобувачів мають можливість навчатися дистанційно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частково враховано потреби окремих груп, але відсутня універсальність рішень</w:t>
            </w:r>
          </w:p>
        </w:tc>
      </w:tr>
      <w:tr w:rsidR="00FC2EB4" w:rsidRPr="00FC2EB4" w:rsidTr="00287EF8">
        <w:trPr>
          <w:trHeight w:val="99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учнів мають стабільний доступ до дистанційної форми освіти.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більшість педагогів забезпечують регулярну взаємодію, проте є технічні або організаційні прогалини</w:t>
            </w:r>
          </w:p>
        </w:tc>
      </w:tr>
      <w:tr w:rsidR="00FC2EB4" w:rsidRPr="00FC2EB4" w:rsidTr="00287EF8">
        <w:trPr>
          <w:trHeight w:val="8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дистанційна освіта доступна переважно всім здобувачам освіти (понад 75%)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при організації дистанційного навчання враховано потреби дітей з ООП</w:t>
            </w:r>
          </w:p>
        </w:tc>
      </w:tr>
      <w:tr w:rsidR="00FC2EB4" w:rsidRPr="00FC2EB4" w:rsidTr="00287EF8">
        <w:trPr>
          <w:trHeight w:val="6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дистанційна освіта доступна всім учням без виключення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забезпечено цифрову доступність, технічну підтримку, адаптацію матеріалів </w:t>
            </w:r>
          </w:p>
        </w:tc>
      </w:tr>
      <w:tr w:rsidR="00FC2EB4" w:rsidRPr="00FC2EB4" w:rsidTr="00287EF8">
        <w:trPr>
          <w:trHeight w:val="601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забезпечення дистанційною освітою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287EF8">
        <w:trPr>
          <w:trHeight w:val="330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відсутні випадки неохоплення загальною середньою освітою дітей шкільного віку.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б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випадки наявні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випадки відсутні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499"/>
        </w:trPr>
        <w:tc>
          <w:tcPr>
            <w:tcW w:w="567" w:type="dxa"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866B21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ідтвредження відсутності випадків неохоплення загальною середньою освітою дітей шкільного віку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690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громаді вживаються заходи у випадку неохоплення загальною середньою освітою дітей шкільного віку. </w:t>
            </w:r>
            <w:r w:rsidR="00F32940" w:rsidRPr="00C55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е</w:t>
            </w:r>
          </w:p>
        </w:tc>
      </w:tr>
      <w:tr w:rsidR="00FC2EB4" w:rsidRPr="00FC2EB4" w:rsidTr="00287EF8">
        <w:trPr>
          <w:trHeight w:val="751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діти, не охоплені шкільним начанням, не повертаються до навчання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жодних заходів не вживається або заходи виявляюються неефективними</w:t>
            </w:r>
          </w:p>
        </w:tc>
      </w:tr>
      <w:tr w:rsidR="00FC2EB4" w:rsidRPr="00FC2EB4" w:rsidTr="00287EF8">
        <w:trPr>
          <w:trHeight w:val="693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менше 25% дітей, не охоплених шкільним начанням, повертаються до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заходи проводяться рідко, без системності</w:t>
            </w:r>
          </w:p>
        </w:tc>
      </w:tr>
      <w:tr w:rsidR="00FC2EB4" w:rsidRPr="00FC2EB4" w:rsidTr="00287EF8">
        <w:trPr>
          <w:trHeight w:val="649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25% не охоплених шкільним начанням, повертаються до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заходи вживаються фрагментарно, проте без системності</w:t>
            </w:r>
          </w:p>
        </w:tc>
      </w:tr>
      <w:tr w:rsidR="00FC2EB4" w:rsidRPr="00FC2EB4" w:rsidTr="00287EF8">
        <w:trPr>
          <w:trHeight w:val="726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50% не охоплених шкільним начанням, повертаються до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заходи вживаються, проте можуть бути затримки чи прогалини в координації</w:t>
            </w:r>
          </w:p>
        </w:tc>
      </w:tr>
      <w:tr w:rsidR="00FC2EB4" w:rsidRPr="00FC2EB4" w:rsidTr="00287EF8">
        <w:trPr>
          <w:trHeight w:val="683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75% не охоплених шкільним начанням,  повертаються до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 наявний чіткий алгоритм реагування</w:t>
            </w:r>
          </w:p>
        </w:tc>
      </w:tr>
      <w:tr w:rsidR="00FC2EB4" w:rsidRPr="00FC2EB4" w:rsidTr="00287EF8">
        <w:trPr>
          <w:trHeight w:val="100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вживаються своєчасні та ефективні заходи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дітей, не охоплених шкільним навчанням, після вжиття заходів повертаються до навчання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ідтвредження розрахунку відсотків поверення до навчання дітей, не охоплених шкільним начанням, за результатами вжитих заходів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30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наявні програми неформальної освіти, доступні всім охочим.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ні</w:t>
            </w:r>
          </w:p>
        </w:tc>
      </w:tr>
      <w:tr w:rsidR="00FC2EB4" w:rsidRPr="00FC2EB4" w:rsidTr="00287EF8">
        <w:trPr>
          <w:trHeight w:val="33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431"/>
        </w:trPr>
        <w:tc>
          <w:tcPr>
            <w:tcW w:w="567" w:type="dxa"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ідтвредження наявності програм неформальної освіти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45"/>
        </w:trPr>
        <w:tc>
          <w:tcPr>
            <w:tcW w:w="10490" w:type="dxa"/>
            <w:gridSpan w:val="2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5. Суспільна безбар’єрність </w:t>
            </w:r>
          </w:p>
        </w:tc>
      </w:tr>
      <w:tr w:rsidR="00FC2EB4" w:rsidRPr="00FC2EB4" w:rsidTr="00287EF8">
        <w:trPr>
          <w:trHeight w:val="330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не толеруються прояви дискримінації та діють ініціативи задля попередження дискримінації. </w:t>
            </w:r>
            <w:r w:rsidR="00F32940" w:rsidRPr="00C55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Виберіть один з варіантів </w:t>
            </w:r>
            <w:proofErr w:type="gramStart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</w:t>
            </w:r>
            <w:proofErr w:type="gramEnd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ідповіді: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г</w:t>
            </w:r>
          </w:p>
        </w:tc>
      </w:tr>
      <w:tr w:rsidR="00FC2EB4" w:rsidRPr="00FC2EB4" w:rsidTr="00287EF8">
        <w:trPr>
          <w:trHeight w:val="100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відсутні будь-які ініціативи, програми чи заходи щодо протидії дискримінації на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також можуть бути ситуації, коли зафіксовано випадки дискримінації, на які відсутнє реагування </w:t>
            </w:r>
          </w:p>
        </w:tc>
      </w:tr>
      <w:tr w:rsidR="00FC2EB4" w:rsidRPr="00FC2EB4" w:rsidTr="00287EF8">
        <w:trPr>
          <w:trHeight w:val="132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протягом року в громаді реалізовано не більше 1 ініціативи, програми чи заходу з протидії дискримінації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відсутній інтерес або ініціатива з боку ОМС чи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реагування на випадки дискримінації є вибірковим або несвоєчасним</w:t>
            </w:r>
          </w:p>
        </w:tc>
      </w:tr>
      <w:tr w:rsidR="00FC2EB4" w:rsidRPr="00FC2EB4" w:rsidTr="00287EF8">
        <w:trPr>
          <w:trHeight w:val="472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протягом року в громаді проведено 2-3 ініціативи, програми чи заходи з протидії дискримінації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також можуть бути випадки, коли ініціативи реалізовуються переважно НУО  без підтримки місцевої влади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реагування на випадки дискримінації відбувається, проте воно несистемне</w:t>
            </w:r>
          </w:p>
        </w:tc>
      </w:tr>
      <w:tr w:rsidR="00FC2EB4" w:rsidRPr="00FC2EB4" w:rsidTr="00287EF8">
        <w:trPr>
          <w:trHeight w:val="742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протягом року реалізовано 4-5 ініціатив, програм чи заходиів з протидії дискримінації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як правило, під час реалізації ініціатив організовано взаємодію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ОМС з громадськими організаціями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 громаді розроблено систему реагування на прояви дискримінації</w:t>
            </w:r>
          </w:p>
        </w:tc>
      </w:tr>
      <w:tr w:rsidR="00FC2EB4" w:rsidRPr="00FC2EB4" w:rsidTr="00287EF8">
        <w:trPr>
          <w:trHeight w:val="132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реалізується щонайменше 6–9  ініціатив, програм чи заходів з протидії дискримінації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місцева влада є активним учасником або ініціатором заходів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в громаді розроблено систему реагування на прояви дискримінації та її попередження </w:t>
            </w:r>
          </w:p>
        </w:tc>
      </w:tr>
      <w:tr w:rsidR="00FC2EB4" w:rsidRPr="00FC2EB4" w:rsidTr="00287EF8">
        <w:trPr>
          <w:trHeight w:val="133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громаді діє понад 10 ініціатив, програм чи заходів з протидії дискримінації на рік, що охоплюють різні аудиторії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місцева влада є активним учасником або ініціатором заходів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функціонує комплексна система регування на випалки дискримінації та протидії їй ( втому числі підтримка постраждалих)</w:t>
            </w:r>
          </w:p>
        </w:tc>
      </w:tr>
      <w:tr w:rsidR="00FC2EB4" w:rsidRPr="00FC2EB4" w:rsidTr="00287EF8">
        <w:trPr>
          <w:trHeight w:val="449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ідтвредження кількості проведених ініціатив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5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Працівники органів місцевого самоврядування громади пройшли навчання на тему безбар’єрності та інклюзії. </w:t>
            </w:r>
            <w:r w:rsidR="00F32940" w:rsidRPr="00C55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Виберіть один з варіантів </w:t>
            </w:r>
            <w:proofErr w:type="gramStart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</w:t>
            </w:r>
            <w:proofErr w:type="gramEnd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ідповіді: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г</w:t>
            </w:r>
          </w:p>
        </w:tc>
      </w:tr>
      <w:tr w:rsidR="00FC2EB4" w:rsidRPr="00FC2EB4" w:rsidTr="00287EF8">
        <w:trPr>
          <w:trHeight w:val="643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працівники ОМС не проходили відповідне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навчання не проводилося</w:t>
            </w:r>
          </w:p>
        </w:tc>
      </w:tr>
      <w:tr w:rsidR="00FC2EB4" w:rsidRPr="00FC2EB4" w:rsidTr="00287EF8">
        <w:trPr>
          <w:trHeight w:val="101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менше 25%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навчання епізодичне, без системного охоплення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результати навчання точково інтегруються в роботу ОМС</w:t>
            </w:r>
          </w:p>
        </w:tc>
      </w:tr>
      <w:tr w:rsidR="00FC2EB4" w:rsidRPr="00FC2EB4" w:rsidTr="00287EF8">
        <w:trPr>
          <w:trHeight w:val="1084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25%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навчання організовано з базових питань інклюзії та проводиться щороку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результати навчання поступово інтегруються в роботу ОМС</w:t>
            </w:r>
          </w:p>
        </w:tc>
      </w:tr>
      <w:tr w:rsidR="00FC2EB4" w:rsidRPr="00FC2EB4" w:rsidTr="00287EF8">
        <w:trPr>
          <w:trHeight w:val="1016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50%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є плановість у провденні щорічних начань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тематика безбар’єрності інтегрована у роботу ОМС</w:t>
            </w:r>
          </w:p>
        </w:tc>
      </w:tr>
      <w:tr w:rsidR="00FC2EB4" w:rsidRPr="00FC2EB4" w:rsidTr="00287EF8">
        <w:trPr>
          <w:trHeight w:val="109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75%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є плановість та системність у провденні щорічних начань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тематика безбар’єрності інтегрована у роботу ОМС</w:t>
            </w:r>
          </w:p>
        </w:tc>
      </w:tr>
      <w:tr w:rsidR="00FC2EB4" w:rsidRPr="00FC2EB4" w:rsidTr="00287EF8">
        <w:trPr>
          <w:trHeight w:val="1022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100%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навчання є обов’язковим елементом щорічного підвищення кваліфікації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тематика безбар’єрності інтегрована у роботу ОМС</w:t>
            </w:r>
          </w:p>
        </w:tc>
      </w:tr>
      <w:tr w:rsidR="00FC2EB4" w:rsidRPr="00FC2EB4" w:rsidTr="00287EF8">
        <w:trPr>
          <w:trHeight w:val="387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ідтвредження розрахунку відсотків працівників, що пройшли відповідне навчання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заходи на теми прав людини і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івних можливостей. </w:t>
            </w:r>
            <w:r w:rsidR="00F32940" w:rsidRPr="00C55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г</w:t>
            </w:r>
          </w:p>
        </w:tc>
      </w:tr>
      <w:tr w:rsidR="00FC2EB4" w:rsidRPr="00FC2EB4" w:rsidTr="00287EF8">
        <w:trPr>
          <w:trHeight w:val="744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громаді не проводяться заходи на теми прав людини і рівних можливостей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можливі випадку, коли відсутній інтерес або ініціатива з боку ОМС чи громади</w:t>
            </w:r>
          </w:p>
        </w:tc>
      </w:tr>
      <w:tr w:rsidR="00FC2EB4" w:rsidRPr="00FC2EB4" w:rsidTr="00287EF8">
        <w:trPr>
          <w:trHeight w:val="77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проведено не більше 1 заходу на рік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відсутній інтерес або ініціатива з боку ОМС чи громади</w:t>
            </w:r>
          </w:p>
        </w:tc>
      </w:tr>
      <w:tr w:rsidR="00FC2EB4" w:rsidRPr="00FC2EB4" w:rsidTr="00287EF8">
        <w:trPr>
          <w:trHeight w:val="99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проведено 2–3 заходи на рік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можливі випадки, коли ініціативи реалізовуються переважно за підтримки НУО, без активної участі ОМС</w:t>
            </w:r>
          </w:p>
        </w:tc>
      </w:tr>
      <w:tr w:rsidR="00FC2EB4" w:rsidRPr="00FC2EB4" w:rsidTr="00287EF8">
        <w:trPr>
          <w:trHeight w:val="687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реалізовано 4–5 заходів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частково залучені різні групи населення та представники ОМС</w:t>
            </w:r>
          </w:p>
        </w:tc>
      </w:tr>
      <w:tr w:rsidR="00FC2EB4" w:rsidRPr="00FC2EB4" w:rsidTr="00287EF8">
        <w:trPr>
          <w:trHeight w:val="628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Вище середнього рівня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організовано 6–9 подій на рік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правилои, заходи реалізуються за активної участі ОМС</w:t>
            </w:r>
          </w:p>
        </w:tc>
      </w:tr>
      <w:tr w:rsidR="00FC2EB4" w:rsidRPr="00FC2EB4" w:rsidTr="00287EF8">
        <w:trPr>
          <w:trHeight w:val="472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щорічно проводиться понад 10 тематичних заходів з прав людини і рівних можливостей– місцева влада є активним учасником або ініціатором заходів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охоплено різні аудиторії: молодь, освітяни, працівники ОМС, жінки, люди з інвалідністю тощо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– тема є інтегрованою у культурні, освітні та інформаційні політики громади</w:t>
            </w:r>
          </w:p>
        </w:tc>
      </w:tr>
      <w:tr w:rsidR="00FC2EB4" w:rsidRPr="00FC2EB4" w:rsidTr="00287EF8">
        <w:trPr>
          <w:trHeight w:val="583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ідтвредження кількості проведених заходів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заходи та культурні події, важливі для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ізних суспільних груп населення. </w:t>
            </w:r>
            <w:r w:rsidR="00F32940" w:rsidRPr="00C55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е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жодні заходи та культурні події, важливі для різних суспільних груп населення громади, протягом року не проводилися</w:t>
            </w:r>
          </w:p>
        </w:tc>
      </w:tr>
      <w:tr w:rsidR="00FC2EB4" w:rsidRPr="00FC2EB4" w:rsidTr="00287EF8">
        <w:trPr>
          <w:trHeight w:val="99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проводиться не більше 1-го заходу та культурної події, важливої для різних груп населення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можуть бути випалки, коли доступність або інклюзивність такого заходу та події є недостатньою</w:t>
            </w:r>
          </w:p>
        </w:tc>
      </w:tr>
      <w:tr w:rsidR="00FC2EB4" w:rsidRPr="00FC2EB4" w:rsidTr="00287EF8">
        <w:trPr>
          <w:trHeight w:val="132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проводиться 2–3 заходи та культурні події на рік орієнтовані на потреби різних суспільних груп населення громади (наприклад, людей старшого віку або дітей)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можуть бути випадки, коли доступність або інклюзивність таких заходів та подій є недостатньою</w:t>
            </w:r>
          </w:p>
        </w:tc>
      </w:tr>
      <w:tr w:rsidR="00FC2EB4" w:rsidRPr="00FC2EB4" w:rsidTr="00287EF8">
        <w:trPr>
          <w:trHeight w:val="99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проводиться 4–5 заходів чи культурних подій, важливих для різних суспільних груп населення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події перважно враховують потреби відвідувачів у доступності та безбар’єрності</w:t>
            </w:r>
          </w:p>
        </w:tc>
      </w:tr>
      <w:tr w:rsidR="00FC2EB4" w:rsidRPr="00FC2EB4" w:rsidTr="00287EF8">
        <w:trPr>
          <w:trHeight w:val="99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проводиться 6–9 заходів чи культурних подій щороку, важливих для різних суспільних груп населення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події адаптовано до потреб маломобільних осіб, сімей з дітьми, ветеранів, молоді тощо</w:t>
            </w:r>
          </w:p>
        </w:tc>
      </w:tr>
      <w:tr w:rsidR="00FC2EB4" w:rsidRPr="00FC2EB4" w:rsidTr="00287EF8">
        <w:trPr>
          <w:trHeight w:val="100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протягом року продиться понад 10 заходів та культурних подій щорічно, важливих для різних суспільних груп населення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події адаптовано до потреб маломобільних осіб, сімей з дітьми, ветеранів, молоді тощо</w:t>
            </w:r>
          </w:p>
        </w:tc>
      </w:tr>
      <w:tr w:rsidR="00FC2EB4" w:rsidRPr="00FC2EB4" w:rsidTr="00287EF8">
        <w:trPr>
          <w:trHeight w:val="517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ідтвредження кількості проведених заходів та культурних подій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30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забезпечено місця для вільного зібрання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мешканців  (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зокрема соціальні клуби, паркові зони, коворкінги, центри громадської участі, ветеранські хаби, бібліотеки тощо).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е</w:t>
            </w:r>
          </w:p>
        </w:tc>
      </w:tr>
      <w:tr w:rsidR="00FC2EB4" w:rsidRPr="00FC2EB4" w:rsidTr="00287EF8">
        <w:trPr>
          <w:trHeight w:val="1068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місця для зібрань майже відсутні або існують формально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менше 10% на кожні 10 тис. наслення громади має доступ до таких просторів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 не забезпечена достпність таких просторів </w:t>
            </w:r>
          </w:p>
        </w:tc>
      </w:tr>
      <w:tr w:rsidR="00FC2EB4" w:rsidRPr="00FC2EB4" w:rsidTr="00287EF8">
        <w:trPr>
          <w:trHeight w:val="1208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менше 25% на кожні 10 тис. населення громади має доступ до місць для вільного зібрання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наявні лише поодинокі об’єкти, які не охоплюють основні групи населення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забезпечена часткова достпність таких просторів </w:t>
            </w:r>
          </w:p>
        </w:tc>
      </w:tr>
      <w:tr w:rsidR="00FC2EB4" w:rsidRPr="00FC2EB4" w:rsidTr="00287EF8">
        <w:trPr>
          <w:trHeight w:val="104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25% на кожні 10 тис. мешканців громади мають доступ до таких місць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інфраструктура фрагментарна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прааивло, деякі простори не відповідають базовим умовам доступності</w:t>
            </w:r>
          </w:p>
        </w:tc>
      </w:tr>
      <w:tr w:rsidR="00FC2EB4" w:rsidRPr="00FC2EB4" w:rsidTr="00287EF8">
        <w:trPr>
          <w:trHeight w:val="132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 на кожні 10 тис. мешканців громади  мають доступ до місць для зібрань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можуть бути випадки, коли протори не рівномірно розподілені між населеними пунктами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наявна базова доступність </w:t>
            </w:r>
          </w:p>
        </w:tc>
      </w:tr>
      <w:tr w:rsidR="00FC2EB4" w:rsidRPr="00FC2EB4" w:rsidTr="00287EF8">
        <w:trPr>
          <w:trHeight w:val="132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вище середнього 4 бали)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на кожні 10 тис. мешканців громади  мають доступ до місць для зібрань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є різноманітні формати локацій (від бібліотек до відкритих просторів), адаптовані під різні групи населення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забезпечено комплексну доступність</w:t>
            </w:r>
          </w:p>
        </w:tc>
      </w:tr>
      <w:tr w:rsidR="00FC2EB4" w:rsidRPr="00FC2EB4" w:rsidTr="00287EF8">
        <w:trPr>
          <w:trHeight w:val="756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 на кожні 10 тис. мешканців громади мають доступ до зручних місць для зібрань у межах пішої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мережа просторів різноманітна, охоплює інтереси й потреби різних вікових, соціальних і суспільних груп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простори активно використовуються, підтримуються, забезпечені комплексними умовами доступності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ідтвредження розрахунку відсотків забезпечення населення громади (на кожні 10 000) місць для вільного зібрання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наявні ініціативи, що підтримують міжпоколіннєвий або міжкультурний діалог та обмін досвідом.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г</w:t>
            </w:r>
          </w:p>
        </w:tc>
      </w:tr>
      <w:tr w:rsidR="00FC2EB4" w:rsidRPr="00FC2EB4" w:rsidTr="00287EF8">
        <w:trPr>
          <w:trHeight w:val="100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 громаді не проводяться заходи чи ініціативи, спрямовані на діалог між поколіннями або культурами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відсутні можливості для взаємодії людей різного віку, походження чи досвіду</w:t>
            </w:r>
          </w:p>
        </w:tc>
      </w:tr>
      <w:tr w:rsidR="00FC2EB4" w:rsidRPr="00FC2EB4" w:rsidTr="00287EF8">
        <w:trPr>
          <w:trHeight w:val="679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реалізовано не більше 1 ініціативи на рік, що об’єднують молодь та людей старшого віку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не залучено більше однієї групи (наприклад, лише молодь)</w:t>
            </w:r>
          </w:p>
        </w:tc>
      </w:tr>
      <w:tr w:rsidR="00FC2EB4" w:rsidRPr="00FC2EB4" w:rsidTr="00287EF8">
        <w:trPr>
          <w:trHeight w:val="713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2-3 ініціативи щороку, що об’єднують молодь та людей старшого віку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залучено декілька груп (наприклад, молодь та особи старшого віку)</w:t>
            </w:r>
          </w:p>
        </w:tc>
      </w:tr>
      <w:tr w:rsidR="00FC2EB4" w:rsidRPr="00FC2EB4" w:rsidTr="00287EF8">
        <w:trPr>
          <w:trHeight w:val="669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4–5 ініціатив щороку, що об’єднують молодь та людей старшого віку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залучено декілька груп (наприклад, молодь та особи старшого віку)</w:t>
            </w:r>
          </w:p>
        </w:tc>
      </w:tr>
      <w:tr w:rsidR="00FC2EB4" w:rsidRPr="00FC2EB4" w:rsidTr="00287EF8">
        <w:trPr>
          <w:trHeight w:val="99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6–9 регулярних ініціатив у партнерстві з ОМС або за її підтримки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відбувається взаємодія між поколіннями, мешканцями з різними походженням, культурою тощо</w:t>
            </w:r>
          </w:p>
        </w:tc>
      </w:tr>
      <w:tr w:rsidR="00FC2EB4" w:rsidRPr="00FC2EB4" w:rsidTr="00287EF8">
        <w:trPr>
          <w:trHeight w:val="100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реалізується понад 10 ініціатив або програм щорічно, що охоплюють міжпоколіннєвий та міжкультурний обмін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міжпоколіннєвий або міжкультурний діалог та обмін досвідом є інтегрованим елементом освітніх, культурних та соціальних стратегій</w:t>
            </w:r>
          </w:p>
        </w:tc>
      </w:tr>
      <w:tr w:rsidR="00FC2EB4" w:rsidRPr="00FC2EB4" w:rsidTr="00287EF8">
        <w:trPr>
          <w:trHeight w:val="465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кількості наявних ініціатив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134"/>
        </w:trPr>
        <w:tc>
          <w:tcPr>
            <w:tcW w:w="10490" w:type="dxa"/>
            <w:gridSpan w:val="2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6. Інклюзивні послуги та сервіси </w:t>
            </w:r>
          </w:p>
        </w:tc>
      </w:tr>
      <w:tr w:rsidR="00FC2EB4" w:rsidRPr="00FC2EB4" w:rsidTr="00287EF8">
        <w:trPr>
          <w:trHeight w:val="330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наявна можливість запису на прийом щодо отримання необхідних послуг онлайн або з використанням спеціальних додатків у смартфонах, що допомагає уникнути складних процедур запису для осіб з інвалідністю та інших суспільних груп населення.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г</w:t>
            </w:r>
          </w:p>
        </w:tc>
      </w:tr>
      <w:tr w:rsidR="00FC2EB4" w:rsidRPr="00FC2EB4" w:rsidTr="00287EF8">
        <w:trPr>
          <w:trHeight w:val="467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повністю відсутній</w:t>
            </w:r>
          </w:p>
        </w:tc>
      </w:tr>
      <w:tr w:rsidR="00FC2EB4" w:rsidRPr="00FC2EB4" w:rsidTr="00287EF8">
        <w:trPr>
          <w:trHeight w:val="434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доступний для менше, ніж 25% основних послуг</w:t>
            </w:r>
          </w:p>
        </w:tc>
      </w:tr>
      <w:tr w:rsidR="00FC2EB4" w:rsidRPr="00FC2EB4" w:rsidTr="00287EF8">
        <w:trPr>
          <w:trHeight w:val="683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доступний для понад 25 % послуг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можуть бути випадки, коли сервіс працює нестабільно або незручно</w:t>
            </w:r>
          </w:p>
        </w:tc>
      </w:tr>
      <w:tr w:rsidR="00FC2EB4" w:rsidRPr="00FC2EB4" w:rsidTr="00287EF8">
        <w:trPr>
          <w:trHeight w:val="756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доступний для понад 50% послуг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сервіси працюють та передбачено базову зручність для різних суспільних груп</w:t>
            </w:r>
          </w:p>
        </w:tc>
      </w:tr>
      <w:tr w:rsidR="00FC2EB4" w:rsidRPr="00FC2EB4" w:rsidTr="00287EF8">
        <w:trPr>
          <w:trHeight w:val="756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доступний для понад 75% послуг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правило,ервіси працюють та їхгій інтерфейс враховує потреби осіб з інвалідністю</w:t>
            </w:r>
          </w:p>
        </w:tc>
      </w:tr>
      <w:tr w:rsidR="00FC2EB4" w:rsidRPr="00FC2EB4" w:rsidTr="00287EF8">
        <w:trPr>
          <w:trHeight w:val="697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послуг мають онлайн-запис або запис через додатки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сервіси є доступними, зручними, адаптованими для різних суспільних груп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розрахунку відсотків послуг, для яких доступним є запис онлайн або з використанням спеціальних додатків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інформація про сервіси/послуги/події дублюється шрифтом Брайля, жестовою мовою, простою (спрощеною) мовою та доступна в онлайн форматі.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відповіді: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а</w:t>
            </w:r>
          </w:p>
        </w:tc>
      </w:tr>
      <w:tr w:rsidR="00FC2EB4" w:rsidRPr="00FC2EB4" w:rsidTr="00287EF8">
        <w:trPr>
          <w:trHeight w:val="537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інформація не дублюється жодним альтернативним способом</w:t>
            </w:r>
          </w:p>
        </w:tc>
      </w:tr>
      <w:tr w:rsidR="00FC2EB4" w:rsidRPr="00FC2EB4" w:rsidTr="00287EF8">
        <w:trPr>
          <w:trHeight w:val="631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альтернативне дублювання охоплює менше 25% ключової інформації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реалізується несистемно</w:t>
            </w:r>
          </w:p>
        </w:tc>
      </w:tr>
      <w:tr w:rsidR="00FC2EB4" w:rsidRPr="00FC2EB4" w:rsidTr="00287EF8">
        <w:trPr>
          <w:trHeight w:val="729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дублювання альтернативним способом здійснюється для понад 25% інформації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присутні лише окремі формати (наприклад, онлайн або жестова мова)</w:t>
            </w:r>
          </w:p>
        </w:tc>
      </w:tr>
      <w:tr w:rsidR="00FC2EB4" w:rsidRPr="00FC2EB4" w:rsidTr="00287EF8">
        <w:trPr>
          <w:trHeight w:val="68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понад 50% інформації дублюється альтернативним способом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праивло, використовуються щонайменше два альтернативні формати</w:t>
            </w:r>
          </w:p>
        </w:tc>
      </w:tr>
      <w:tr w:rsidR="00FC2EB4" w:rsidRPr="00FC2EB4" w:rsidTr="00287EF8">
        <w:trPr>
          <w:trHeight w:val="99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інформації дублюється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інформація доступна для різних груп (з порушеннями зору, слуху, когнітивними порушеннями)</w:t>
            </w:r>
          </w:p>
        </w:tc>
      </w:tr>
      <w:tr w:rsidR="00FC2EB4" w:rsidRPr="00FC2EB4" w:rsidTr="00287EF8">
        <w:trPr>
          <w:trHeight w:val="100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інформації дублюється у доступних форматах: Брайль, жестова мова, проста (спрощена) мова, онлайн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використовується багатоканальне інформування</w:t>
            </w:r>
          </w:p>
        </w:tc>
      </w:tr>
      <w:tr w:rsidR="00FC2EB4" w:rsidRPr="00D977A6" w:rsidTr="00287EF8">
        <w:trPr>
          <w:trHeight w:val="675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ідтвердження розрахунку відсотків сервісів/послуг/подій, про які інформація дублюється шрифтом Брайля, жестовою мовою, спрощеною мовою або онлайн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923" w:type="dxa"/>
            <w:hideMark/>
          </w:tcPr>
          <w:p w:rsidR="00FC2EB4" w:rsidRPr="00F54DD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інформація про послуги є доступною в зручних форматах.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="00666F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так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ні, інформацію про жодну послугу не можна отримати у зручному форматі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так, інформацію про окремі послуги можна отримати у зручному форматі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про те, що у громаді інформація про послуги регулярно оновлюється і є доступною в зручних форматах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923" w:type="dxa"/>
            <w:hideMark/>
          </w:tcPr>
          <w:p w:rsidR="00FC2EB4" w:rsidRPr="00F54DD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послуги надаються дистанційно (телефоном, онлайн), якщо це необхідно.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б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ні, відсутня можливість отримати жодну послугу дистанційно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так, є можливість отримати окремі види послуг дистанційно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про те, що у громаді послуги надаються також дистанційно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923" w:type="dxa"/>
            <w:hideMark/>
          </w:tcPr>
          <w:p w:rsidR="00FC2EB4" w:rsidRPr="00F54DD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надається послуга перекладача жестової мови або супроводу за запитом.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="00666F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ні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про те, що у громаді надається послуга перекладача жестової мови або супроводу за запитом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3" w:type="dxa"/>
            <w:hideMark/>
          </w:tcPr>
          <w:p w:rsidR="00FC2EB4" w:rsidRPr="00F54DD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наявна можливість отримати супровід або допомогу при оформленні документів.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так</w:t>
            </w:r>
          </w:p>
        </w:tc>
      </w:tr>
      <w:tr w:rsidR="00FC2EB4" w:rsidRPr="00FC2EB4" w:rsidTr="00287EF8">
        <w:trPr>
          <w:trHeight w:val="33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про те, що у громаді наявна можливість отримати супровід або допомогу при оформленні документів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30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віддалених районах громади надається мобільна допомога/виїзні бригади медичних або соціальних працівників. </w:t>
            </w:r>
            <w:r w:rsidR="00F32940" w:rsidRPr="00C55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Виберіть один з варіантів </w:t>
            </w:r>
            <w:proofErr w:type="gramStart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</w:t>
            </w:r>
            <w:proofErr w:type="gramEnd"/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ідповіді: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е</w:t>
            </w:r>
          </w:p>
        </w:tc>
      </w:tr>
      <w:tr w:rsidR="00FC2EB4" w:rsidRPr="00D977A6" w:rsidTr="00287EF8">
        <w:trPr>
          <w:trHeight w:val="856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D977A6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мобільна допомога або виїзні бригади взагалі не функціонують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можливі випадки, коли відсутня реакція на виклики або виклики ігноруються</w:t>
            </w:r>
          </w:p>
        </w:tc>
      </w:tr>
      <w:tr w:rsidR="00FC2EB4" w:rsidRPr="00FC2EB4" w:rsidTr="00287EF8">
        <w:trPr>
          <w:trHeight w:val="812"/>
        </w:trPr>
        <w:tc>
          <w:tcPr>
            <w:tcW w:w="567" w:type="dxa"/>
            <w:vMerge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виїзди здійснюються рідко: менше ніж 1 раз на місяць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можливі випадки, коли виклики часто залишаються без реагування</w:t>
            </w:r>
          </w:p>
        </w:tc>
      </w:tr>
      <w:tr w:rsidR="00FC2EB4" w:rsidRPr="00FC2EB4" w:rsidTr="00287EF8">
        <w:trPr>
          <w:trHeight w:val="741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виїзди здійснюються не рідше 1 раз на місяць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можливі випадки, коли бригади не завжди доїжджають до всіх заявлених локацій</w:t>
            </w:r>
          </w:p>
        </w:tc>
      </w:tr>
      <w:tr w:rsidR="00FC2EB4" w:rsidRPr="00FC2EB4" w:rsidTr="00287EF8">
        <w:trPr>
          <w:trHeight w:val="696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виїзди здійснюються не рідше 1 разу на 2 тижні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можливі випадки, коли бригади доїзжджають із затримками</w:t>
            </w:r>
          </w:p>
        </w:tc>
      </w:tr>
      <w:tr w:rsidR="00FC2EB4" w:rsidRPr="00FC2EB4" w:rsidTr="00287EF8">
        <w:trPr>
          <w:trHeight w:val="781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бригади здійснюють виїзди щотижня або частіше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є чіткий графік виїздів та можливість реагування на екстрені запити</w:t>
            </w:r>
          </w:p>
        </w:tc>
      </w:tr>
      <w:tr w:rsidR="00FC2EB4" w:rsidRPr="00FC2EB4" w:rsidTr="00287EF8">
        <w:trPr>
          <w:trHeight w:val="722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доступності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виїзди відбуваються регулярно та за потреби, включаючи екстрені виклики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забезпечено оперативне реагування протягом 24 годин після звернення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про кількість виїздів та оперативність реагування мобільної допомоги/виїзних бригад медичних або соціальних працівників у віддалених районах громади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C2EB4" w:rsidRPr="00FC2EB4" w:rsidTr="00287EF8">
        <w:trPr>
          <w:trHeight w:val="345"/>
        </w:trPr>
        <w:tc>
          <w:tcPr>
            <w:tcW w:w="10490" w:type="dxa"/>
            <w:gridSpan w:val="2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7. Цифрова безбар'єрність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923" w:type="dxa"/>
            <w:hideMark/>
          </w:tcPr>
          <w:p w:rsidR="00FC2EB4" w:rsidRPr="00F54DD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Громада має сайт або онлайн-портал, доступний для людей з порушенням зору/слуху.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="00666F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так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70"/>
        </w:trPr>
        <w:tc>
          <w:tcPr>
            <w:tcW w:w="567" w:type="dxa"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посилання на такий </w:t>
            </w:r>
            <w:r w:rsid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веб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сайт або онлайн-портал у Вашій громаді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923" w:type="dxa"/>
            <w:hideMark/>
          </w:tcPr>
          <w:p w:rsidR="00FC2EB4" w:rsidRPr="00F54DD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можна оформити необхідні документи онлайн без необхідності відвідування адміністративних будівель особисто.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так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такий онлайн-ресурс або документальне підтвердження такого функціоналу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923" w:type="dxa"/>
            <w:hideMark/>
          </w:tcPr>
          <w:p w:rsidR="00FC2EB4" w:rsidRPr="00F54DD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створено мобільний додаток для інформування щодо забезпечення потреб громади, а також забезпечено його адаптацію для різних суспільних груп населення.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="00666F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ні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263"/>
        </w:trPr>
        <w:tc>
          <w:tcPr>
            <w:tcW w:w="567" w:type="dxa"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такий додаток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923" w:type="dxa"/>
            <w:hideMark/>
          </w:tcPr>
          <w:p w:rsidR="00FC2EB4" w:rsidRPr="00F54DD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для різних сусіпльних груп забезпечено безбар’єрний доступ до електронних публічних послуг.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так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475"/>
        </w:trPr>
        <w:tc>
          <w:tcPr>
            <w:tcW w:w="567" w:type="dxa"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онлайн ресурс з безбар’єрним доступом до електронних публічних послуг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5</w:t>
            </w:r>
          </w:p>
        </w:tc>
        <w:tc>
          <w:tcPr>
            <w:tcW w:w="9923" w:type="dxa"/>
            <w:hideMark/>
          </w:tcPr>
          <w:p w:rsidR="00FC2EB4" w:rsidRPr="00F54DD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аді для різних сусіпльних груп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забезпечено безбар’єрний доступ до публічної інформації органів владних повноважень.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="00666F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так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521"/>
        </w:trPr>
        <w:tc>
          <w:tcPr>
            <w:tcW w:w="567" w:type="dxa"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онлайн-ресурс з безбар’єрним доступом до публічної інформації органів владних повноважень Вашої громади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287EF8">
        <w:trPr>
          <w:trHeight w:val="330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3" w:type="dxa"/>
            <w:hideMark/>
          </w:tcPr>
          <w:p w:rsidR="00FC2EB4" w:rsidRPr="00F54DD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аді для різних сусіпльних груп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забезпечено безбар’єрний доступ до аудіовізуальних та друкованих медіа.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так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643"/>
        </w:trPr>
        <w:tc>
          <w:tcPr>
            <w:tcW w:w="567" w:type="dxa"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онлайн-ресурс або ж документальне підтвердження безбар’єрного доступу до аудіовізуальних та друкованих медіа у Вашій громаді</w:t>
            </w:r>
          </w:p>
        </w:tc>
      </w:tr>
      <w:tr w:rsidR="00FC2EB4" w:rsidRPr="00FC2EB4" w:rsidTr="00287EF8">
        <w:trPr>
          <w:trHeight w:val="690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для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ізних сусіпльних груп забезпечено безбар’єрний доступ до швидкісного інтернету. </w:t>
            </w:r>
            <w:r w:rsidR="00F32940" w:rsidRPr="00C55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б</w:t>
            </w:r>
          </w:p>
        </w:tc>
      </w:tr>
      <w:tr w:rsidR="00FC2EB4" w:rsidRPr="00FC2EB4" w:rsidTr="00287EF8">
        <w:trPr>
          <w:trHeight w:val="472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відсутнє забезпечення безбар’єрним доступом до швидкісного інтернету</w:t>
            </w:r>
          </w:p>
        </w:tc>
      </w:tr>
      <w:tr w:rsidR="00FC2EB4" w:rsidRPr="00FC2EB4" w:rsidTr="00287EF8">
        <w:trPr>
          <w:trHeight w:val="438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безбар'єрним доступом до швидкісного інтернету менше 25% мешканців</w:t>
            </w:r>
          </w:p>
        </w:tc>
      </w:tr>
      <w:tr w:rsidR="00FC2EB4" w:rsidRPr="00FC2EB4" w:rsidTr="00287EF8">
        <w:trPr>
          <w:trHeight w:val="389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безбар'єрним доступом до швидкісного інтернету понад 25% мешканців</w:t>
            </w:r>
          </w:p>
        </w:tc>
      </w:tr>
      <w:tr w:rsidR="00FC2EB4" w:rsidRPr="00FC2EB4" w:rsidTr="00287EF8">
        <w:trPr>
          <w:trHeight w:val="35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безбар'єрним доступом до швидкісного інтернету понад 50% мешканців</w:t>
            </w:r>
          </w:p>
        </w:tc>
      </w:tr>
      <w:tr w:rsidR="00FC2EB4" w:rsidRPr="00FC2EB4" w:rsidTr="00287EF8">
        <w:trPr>
          <w:trHeight w:val="449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безбар'єрним доступом до швидкісного інтернету понад 75% мешканців</w:t>
            </w:r>
          </w:p>
        </w:tc>
      </w:tr>
      <w:tr w:rsidR="00FC2EB4" w:rsidRPr="00FC2EB4" w:rsidTr="00287EF8">
        <w:trPr>
          <w:trHeight w:val="41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забезпечено безбар'єрним доступом до швидкісного інтернету 100% мешканців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підтвердження забезпечення безбар’єрного доступу до швидкісного інтернету різних суспільних груп Вашої громади 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для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ізних суспільних груп забезпечено безбар’єрний доступ до отримання цифрових знань та навичок. </w:t>
            </w:r>
            <w:r w:rsidR="00F32940" w:rsidRPr="00C55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г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відсутнє забезпечення безбар’єрним доступом до отримання цифрових знань та навичок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менше 25% мешканців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понад 25% мешканців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понад 50% мешканців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понад 75% мешканців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100% мешканців</w:t>
            </w:r>
          </w:p>
        </w:tc>
      </w:tr>
      <w:tr w:rsidR="00FC2EB4" w:rsidRPr="00FC2EB4" w:rsidTr="00287EF8">
        <w:trPr>
          <w:trHeight w:val="477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 документальне підтвердження забезпечення мешканців Вашої громади безбар’єрним доступом до отримання цифрових знань та навичок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заходи із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ідвищення цифрової грамотності різних суспільних груп мешканців (протягом року). </w:t>
            </w:r>
            <w:r w:rsidR="00F32940" w:rsidRPr="00C55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д</w:t>
            </w:r>
          </w:p>
        </w:tc>
      </w:tr>
      <w:tr w:rsidR="00FC2EB4" w:rsidRPr="00FC2EB4" w:rsidTr="00287EF8">
        <w:trPr>
          <w:trHeight w:val="553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не проводяться заходи із підвищення цифрової грамотності для мешканців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1 захід із підвищення цифрової грамотності для мешканці на рік 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2-3 заходи із підвищення цифрової грамотності для мешканці на рік 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4-5 заходів із підвищення цифрової грамотності для мешканці на рік 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6-9 заходів із підвищення цифрової грамотності для мешканці на рік 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регулярно проводиться 10 і більше заходів із підвищення цифрової грамотності для мешканці на рік </w:t>
            </w:r>
          </w:p>
        </w:tc>
      </w:tr>
      <w:tr w:rsidR="00FC2EB4" w:rsidRPr="00FC2EB4" w:rsidTr="00287EF8">
        <w:trPr>
          <w:trHeight w:val="489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Надайте,будь ласка, документальне підтвердження проведених заходів із підвищення цифрової грамотності для мешканців Вашої громади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287EF8">
        <w:trPr>
          <w:trHeight w:val="345"/>
        </w:trPr>
        <w:tc>
          <w:tcPr>
            <w:tcW w:w="10490" w:type="dxa"/>
            <w:gridSpan w:val="2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8. Економічна безбар'єрність</w:t>
            </w:r>
          </w:p>
        </w:tc>
      </w:tr>
      <w:tr w:rsidR="00FC2EB4" w:rsidRPr="00FC2EB4" w:rsidTr="00287EF8">
        <w:trPr>
          <w:trHeight w:val="330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923" w:type="dxa"/>
            <w:hideMark/>
          </w:tcPr>
          <w:p w:rsidR="00FC2EB4" w:rsidRPr="00666FAC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враховуються потреби осіб з інвалідністю при працевлаштуванні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структурах органів місцевого самоврядування.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="00666F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так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того, як враховуються потреби осіб з інвалідністю при працевлаштуванні у структурах органів місцевого самоврядування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 на звіт)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діють програми допомоги у працевлаштуванні осіб з інвалідністю.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ні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494"/>
        </w:trPr>
        <w:tc>
          <w:tcPr>
            <w:tcW w:w="567" w:type="dxa"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програм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 на програми)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громаді  наявні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програми підтримки місцевого бізнесу або самозайнятості, зокрема для підтримки різних суспільних груп громади (особи старшого віку, ВПО, особи з інвалідністю). 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ні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515"/>
        </w:trPr>
        <w:tc>
          <w:tcPr>
            <w:tcW w:w="567" w:type="dxa"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програм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 на програми)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923" w:type="dxa"/>
            <w:hideMark/>
          </w:tcPr>
          <w:p w:rsidR="00FC2EB4" w:rsidRPr="00A44BA8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межах громади або поблизу забезпечено наявність філії чинної служби зайнятості.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A44B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так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631"/>
        </w:trPr>
        <w:tc>
          <w:tcPr>
            <w:tcW w:w="567" w:type="dxa"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наявності філії чинної служби зайнятості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(посилання)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забезпечено проведення відповідних освітніх заходів (курсів/тренінгів/навчальних програм підвищення кваліфікації, перекваліфікації, покращення навичок тощо) забезпечених доступністю для різних суспільних груп населення громади щорічно.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г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не проводяться вищевказані освітні заходи забезпечені доступністю для різних суспільних груп населення громади щорічно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1 вищевказаний освітній захід забезпечений доступністю для різних суспільних груп населення громади на рік 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2-3 вищевказані освітні заходи забезпечені доступністю для різних суспільних груп населення громади на рік 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4-5 вищевказаних освітніх заходів забезпечених доступністю для різних суспільних груп населення громади на рік </w:t>
            </w:r>
          </w:p>
        </w:tc>
      </w:tr>
      <w:tr w:rsidR="00FC2EB4" w:rsidRPr="00FC2EB4" w:rsidTr="00287EF8">
        <w:trPr>
          <w:trHeight w:val="660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6-9 вищевказаних освітніх заходів забезпечених доступністю для різних суспільних груп населення громади на рік 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402B0B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регулярно проводиться більше 10 вищевказаних освітніх заходів забезпечених доступністю для різних суспільних груп населення громади на рік </w:t>
            </w:r>
          </w:p>
        </w:tc>
      </w:tr>
      <w:tr w:rsidR="00FC2EB4" w:rsidRPr="00FC2EB4" w:rsidTr="00287EF8">
        <w:trPr>
          <w:trHeight w:val="435"/>
        </w:trPr>
        <w:tc>
          <w:tcPr>
            <w:tcW w:w="567" w:type="dxa"/>
            <w:hideMark/>
          </w:tcPr>
          <w:p w:rsidR="00FC2EB4" w:rsidRPr="00D977A6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підтвердження кількості проведених заходів 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 (посилання)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забезпечено доступ та інформування щодо наявних програм отримання грантів/субсидій для працевлаштування різних суспільних груп населення (особи старшого віку, ВПО, особи з інвалідністю). 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так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1005"/>
        </w:trPr>
        <w:tc>
          <w:tcPr>
            <w:tcW w:w="567" w:type="dxa"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Надайте, будь ласка, документальне підтвердження забезпеченого доступу та інформування щодо наявних програм отримання грантів/субсидій для працевлаштування різних суспільних груп Вашої громади (особи старшого віку, ВПО, особи з інвалідністю) 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 (посилання)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7</w:t>
            </w:r>
          </w:p>
        </w:tc>
        <w:tc>
          <w:tcPr>
            <w:tcW w:w="9923" w:type="dxa"/>
            <w:hideMark/>
          </w:tcPr>
          <w:p w:rsidR="00FC2EB4" w:rsidRPr="00C9429A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доступні високоякісні робочі місця для різних суспільних груп населення.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так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наявних доступних високоякісних робочих місць для різних суспільних груп мешканців Вашої громади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 (посилання)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923" w:type="dxa"/>
            <w:hideMark/>
          </w:tcPr>
          <w:p w:rsidR="00FC2EB4" w:rsidRPr="00666FAC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надаються мікрокредити та/або інша підтримка підприємництва для різних суспільних груп населення.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так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675"/>
        </w:trPr>
        <w:tc>
          <w:tcPr>
            <w:tcW w:w="567" w:type="dxa"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Надайте, будь ласка, документальне підтвердження надання мікрокредитів та/або іншої пітримки підприємництва різним суспільним групам мешканців Вашої громади</w:t>
            </w:r>
            <w:r w:rsidR="00A67F90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 (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A67F90" w:rsidRPr="00C5598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287EF8">
        <w:trPr>
          <w:trHeight w:val="315"/>
        </w:trPr>
        <w:tc>
          <w:tcPr>
            <w:tcW w:w="567" w:type="dxa"/>
            <w:vMerge w:val="restart"/>
            <w:noWrap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діють програми підтримки жінок-підприємиць. 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варіантів:</w:t>
            </w:r>
            <w:r w:rsidR="00C94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ні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345"/>
        </w:trPr>
        <w:tc>
          <w:tcPr>
            <w:tcW w:w="567" w:type="dxa"/>
            <w:vMerge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FC2EB4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287EF8">
        <w:trPr>
          <w:trHeight w:val="513"/>
        </w:trPr>
        <w:tc>
          <w:tcPr>
            <w:tcW w:w="567" w:type="dxa"/>
            <w:hideMark/>
          </w:tcPr>
          <w:p w:rsidR="00FC2EB4" w:rsidRPr="00FC2EB4" w:rsidRDefault="00FC2EB4" w:rsidP="00A44B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3" w:type="dxa"/>
            <w:hideMark/>
          </w:tcPr>
          <w:p w:rsidR="00FC2EB4" w:rsidRPr="00D977A6" w:rsidRDefault="00FC2EB4" w:rsidP="00A44BA8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програм підтримки жінок-підприємиць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 (посилання на перелік програм)</w:t>
            </w:r>
          </w:p>
        </w:tc>
      </w:tr>
    </w:tbl>
    <w:p w:rsidR="00FC2EB4" w:rsidRDefault="00FC2EB4" w:rsidP="00FC2E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7F90" w:rsidRPr="00D977A6" w:rsidRDefault="00D977A6" w:rsidP="00666FAC">
      <w:pPr>
        <w:ind w:left="-567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«_</w:t>
      </w:r>
      <w:r w:rsidR="00666FAC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>_» ____</w:t>
      </w:r>
      <w:r w:rsidR="00666FAC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____ 202</w:t>
      </w:r>
      <w:r w:rsidR="00666FA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A67F9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:rsidR="00D977A6" w:rsidRPr="00D977A6" w:rsidRDefault="00D977A6" w:rsidP="00D977A6">
      <w:pPr>
        <w:spacing w:after="0"/>
        <w:ind w:left="6663"/>
        <w:rPr>
          <w:rFonts w:ascii="Times New Roman" w:hAnsi="Times New Roman" w:cs="Times New Roman"/>
          <w:sz w:val="18"/>
          <w:szCs w:val="18"/>
        </w:rPr>
      </w:pPr>
    </w:p>
    <w:sectPr w:rsidR="00D977A6" w:rsidRPr="00D977A6" w:rsidSect="00A67F90">
      <w:headerReference w:type="default" r:id="rId8"/>
      <w:pgSz w:w="12240" w:h="15840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8B4" w:rsidRDefault="009418B4" w:rsidP="00A67F90">
      <w:pPr>
        <w:spacing w:after="0" w:line="240" w:lineRule="auto"/>
      </w:pPr>
      <w:r>
        <w:separator/>
      </w:r>
    </w:p>
  </w:endnote>
  <w:endnote w:type="continuationSeparator" w:id="0">
    <w:p w:rsidR="009418B4" w:rsidRDefault="009418B4" w:rsidP="00A67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8B4" w:rsidRDefault="009418B4" w:rsidP="00A67F90">
      <w:pPr>
        <w:spacing w:after="0" w:line="240" w:lineRule="auto"/>
      </w:pPr>
      <w:r>
        <w:separator/>
      </w:r>
    </w:p>
  </w:footnote>
  <w:footnote w:type="continuationSeparator" w:id="0">
    <w:p w:rsidR="009418B4" w:rsidRDefault="009418B4" w:rsidP="00A67F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775670992"/>
      <w:docPartObj>
        <w:docPartGallery w:val="Page Numbers (Top of Page)"/>
        <w:docPartUnique/>
      </w:docPartObj>
    </w:sdtPr>
    <w:sdtEndPr/>
    <w:sdtContent>
      <w:p w:rsidR="00217800" w:rsidRPr="00A67F90" w:rsidRDefault="00217800">
        <w:pPr>
          <w:pStyle w:val="a4"/>
          <w:jc w:val="center"/>
          <w:rPr>
            <w:rFonts w:ascii="Times New Roman" w:hAnsi="Times New Roman" w:cs="Times New Roman"/>
          </w:rPr>
        </w:pPr>
        <w:r w:rsidRPr="00A67F90">
          <w:rPr>
            <w:rFonts w:ascii="Times New Roman" w:hAnsi="Times New Roman" w:cs="Times New Roman"/>
          </w:rPr>
          <w:fldChar w:fldCharType="begin"/>
        </w:r>
        <w:r w:rsidRPr="00A67F90">
          <w:rPr>
            <w:rFonts w:ascii="Times New Roman" w:hAnsi="Times New Roman" w:cs="Times New Roman"/>
          </w:rPr>
          <w:instrText>PAGE   \* MERGEFORMAT</w:instrText>
        </w:r>
        <w:r w:rsidRPr="00A67F90">
          <w:rPr>
            <w:rFonts w:ascii="Times New Roman" w:hAnsi="Times New Roman" w:cs="Times New Roman"/>
          </w:rPr>
          <w:fldChar w:fldCharType="separate"/>
        </w:r>
        <w:r w:rsidR="005D3C03" w:rsidRPr="005D3C03">
          <w:rPr>
            <w:rFonts w:ascii="Times New Roman" w:hAnsi="Times New Roman" w:cs="Times New Roman"/>
            <w:noProof/>
            <w:lang w:val="ru-RU"/>
          </w:rPr>
          <w:t>31</w:t>
        </w:r>
        <w:r w:rsidRPr="00A67F90">
          <w:rPr>
            <w:rFonts w:ascii="Times New Roman" w:hAnsi="Times New Roman" w:cs="Times New Roman"/>
          </w:rPr>
          <w:fldChar w:fldCharType="end"/>
        </w:r>
      </w:p>
    </w:sdtContent>
  </w:sdt>
  <w:p w:rsidR="00217800" w:rsidRDefault="0021780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EB4"/>
    <w:rsid w:val="000138C6"/>
    <w:rsid w:val="00091DAD"/>
    <w:rsid w:val="00217800"/>
    <w:rsid w:val="00287EF8"/>
    <w:rsid w:val="00357748"/>
    <w:rsid w:val="003A770E"/>
    <w:rsid w:val="003B7B00"/>
    <w:rsid w:val="00402B0B"/>
    <w:rsid w:val="004B0966"/>
    <w:rsid w:val="005D3C03"/>
    <w:rsid w:val="00621A47"/>
    <w:rsid w:val="00666FAC"/>
    <w:rsid w:val="00745CEF"/>
    <w:rsid w:val="0079274B"/>
    <w:rsid w:val="00866B21"/>
    <w:rsid w:val="009418B4"/>
    <w:rsid w:val="00A44BA8"/>
    <w:rsid w:val="00A67F90"/>
    <w:rsid w:val="00B20385"/>
    <w:rsid w:val="00B42F07"/>
    <w:rsid w:val="00C55981"/>
    <w:rsid w:val="00C9429A"/>
    <w:rsid w:val="00D157FC"/>
    <w:rsid w:val="00D82CF6"/>
    <w:rsid w:val="00D977A6"/>
    <w:rsid w:val="00E84C37"/>
    <w:rsid w:val="00ED13A2"/>
    <w:rsid w:val="00F32940"/>
    <w:rsid w:val="00F50873"/>
    <w:rsid w:val="00F54DD4"/>
    <w:rsid w:val="00FC2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2">
    <w:name w:val="Grid Table 1 Light Accent 2"/>
    <w:basedOn w:val="a1"/>
    <w:uiPriority w:val="46"/>
    <w:rsid w:val="00FC2EB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3">
    <w:name w:val="Table Grid"/>
    <w:basedOn w:val="a1"/>
    <w:uiPriority w:val="39"/>
    <w:rsid w:val="00FC2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67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7F90"/>
    <w:rPr>
      <w:lang w:val="uk-UA"/>
    </w:rPr>
  </w:style>
  <w:style w:type="paragraph" w:styleId="a6">
    <w:name w:val="footer"/>
    <w:basedOn w:val="a"/>
    <w:link w:val="a7"/>
    <w:uiPriority w:val="99"/>
    <w:unhideWhenUsed/>
    <w:rsid w:val="00A67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7F90"/>
    <w:rPr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D157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157FC"/>
    <w:rPr>
      <w:rFonts w:ascii="Segoe UI" w:hAnsi="Segoe UI" w:cs="Segoe UI"/>
      <w:sz w:val="18"/>
      <w:szCs w:val="18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2">
    <w:name w:val="Grid Table 1 Light Accent 2"/>
    <w:basedOn w:val="a1"/>
    <w:uiPriority w:val="46"/>
    <w:rsid w:val="00FC2EB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3">
    <w:name w:val="Table Grid"/>
    <w:basedOn w:val="a1"/>
    <w:uiPriority w:val="39"/>
    <w:rsid w:val="00FC2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67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7F90"/>
    <w:rPr>
      <w:lang w:val="uk-UA"/>
    </w:rPr>
  </w:style>
  <w:style w:type="paragraph" w:styleId="a6">
    <w:name w:val="footer"/>
    <w:basedOn w:val="a"/>
    <w:link w:val="a7"/>
    <w:uiPriority w:val="99"/>
    <w:unhideWhenUsed/>
    <w:rsid w:val="00A67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7F90"/>
    <w:rPr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D157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157FC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0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7D8D3-9496-4C2B-93AB-C5C580280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31</Pages>
  <Words>11251</Words>
  <Characters>64137</Characters>
  <Application>Microsoft Office Word</Application>
  <DocSecurity>0</DocSecurity>
  <Lines>534</Lines>
  <Paragraphs>150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Негода Мирослава Сергіївна</dc:creator>
  <cp:keywords/>
  <dc:description/>
  <cp:lastModifiedBy>User</cp:lastModifiedBy>
  <cp:revision>13</cp:revision>
  <cp:lastPrinted>2026-09-18T09:48:00Z</cp:lastPrinted>
  <dcterms:created xsi:type="dcterms:W3CDTF">2025-07-15T13:44:00Z</dcterms:created>
  <dcterms:modified xsi:type="dcterms:W3CDTF">2026-09-21T08:31:00Z</dcterms:modified>
</cp:coreProperties>
</file>