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F07" w:rsidRPr="00A67F90" w:rsidRDefault="00FC2EB4" w:rsidP="00FC2E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67F90">
        <w:rPr>
          <w:rFonts w:ascii="Times New Roman" w:hAnsi="Times New Roman" w:cs="Times New Roman"/>
          <w:b/>
          <w:sz w:val="28"/>
          <w:szCs w:val="28"/>
        </w:rPr>
        <w:t>АНКЕТА</w:t>
      </w:r>
    </w:p>
    <w:p w:rsidR="00FC2EB4" w:rsidRDefault="00FC2EB4" w:rsidP="00FC2E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7F90">
        <w:rPr>
          <w:rFonts w:ascii="Times New Roman" w:hAnsi="Times New Roman" w:cs="Times New Roman"/>
          <w:b/>
          <w:sz w:val="28"/>
          <w:szCs w:val="28"/>
        </w:rPr>
        <w:t>Індекс безбар’єрності територіальної громади</w:t>
      </w:r>
    </w:p>
    <w:p w:rsidR="00D82CF6" w:rsidRPr="001037D1" w:rsidRDefault="001037D1" w:rsidP="00FC2EB4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1037D1">
        <w:rPr>
          <w:rFonts w:ascii="Times New Roman" w:hAnsi="Times New Roman" w:cs="Times New Roman"/>
          <w:i/>
          <w:sz w:val="28"/>
          <w:szCs w:val="28"/>
          <w:u w:val="single"/>
        </w:rPr>
        <w:t>Оратівська селищна територіальна громада</w:t>
      </w:r>
      <w:r w:rsidR="00D82CF6" w:rsidRPr="001037D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</w:p>
    <w:p w:rsidR="00A67F90" w:rsidRPr="000138C6" w:rsidRDefault="00D82CF6" w:rsidP="00B20385">
      <w:pPr>
        <w:jc w:val="center"/>
        <w:rPr>
          <w:rFonts w:ascii="Times New Roman" w:hAnsi="Times New Roman" w:cs="Times New Roman"/>
          <w:sz w:val="20"/>
          <w:szCs w:val="20"/>
        </w:rPr>
      </w:pPr>
      <w:r w:rsidRPr="000138C6">
        <w:rPr>
          <w:rFonts w:ascii="Times New Roman" w:hAnsi="Times New Roman" w:cs="Times New Roman"/>
          <w:sz w:val="20"/>
          <w:szCs w:val="20"/>
        </w:rPr>
        <w:t>(назва територіальної громади, область</w:t>
      </w:r>
      <w:r w:rsidR="000138C6">
        <w:rPr>
          <w:rFonts w:ascii="Times New Roman" w:hAnsi="Times New Roman" w:cs="Times New Roman"/>
          <w:sz w:val="20"/>
          <w:szCs w:val="20"/>
        </w:rPr>
        <w:t>/м. Київ</w:t>
      </w:r>
      <w:r w:rsidRPr="000138C6">
        <w:rPr>
          <w:rFonts w:ascii="Times New Roman" w:hAnsi="Times New Roman" w:cs="Times New Roman"/>
          <w:sz w:val="20"/>
          <w:szCs w:val="20"/>
        </w:rPr>
        <w:t>)</w:t>
      </w:r>
    </w:p>
    <w:p w:rsidR="00B20385" w:rsidRPr="00A67F90" w:rsidRDefault="00B20385" w:rsidP="00B20385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67F90">
        <w:rPr>
          <w:rFonts w:ascii="Times New Roman" w:hAnsi="Times New Roman" w:cs="Times New Roman"/>
          <w:i/>
          <w:sz w:val="24"/>
          <w:szCs w:val="24"/>
        </w:rPr>
        <w:t xml:space="preserve">Шановні представники </w:t>
      </w:r>
      <w:r w:rsidR="00A67F90">
        <w:rPr>
          <w:rFonts w:ascii="Times New Roman" w:hAnsi="Times New Roman" w:cs="Times New Roman"/>
          <w:i/>
          <w:sz w:val="24"/>
          <w:szCs w:val="24"/>
        </w:rPr>
        <w:t xml:space="preserve">територіальної </w:t>
      </w:r>
      <w:r w:rsidRPr="00A67F90">
        <w:rPr>
          <w:rFonts w:ascii="Times New Roman" w:hAnsi="Times New Roman" w:cs="Times New Roman"/>
          <w:i/>
          <w:sz w:val="24"/>
          <w:szCs w:val="24"/>
        </w:rPr>
        <w:t>громади!</w:t>
      </w:r>
    </w:p>
    <w:p w:rsidR="00B20385" w:rsidRPr="00A67F90" w:rsidRDefault="00B20385" w:rsidP="00A67F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 xml:space="preserve">З метою встановлення рівня доступності у вашій громаді просимо вас надати відповідь на наведені нижче запитання. </w:t>
      </w:r>
    </w:p>
    <w:p w:rsidR="00B20385" w:rsidRPr="00A67F90" w:rsidRDefault="00B20385" w:rsidP="00A67F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>Звертаємо вашу увагу, що запитання сформульовані у вигляді тез, які вам потрібно:</w:t>
      </w:r>
    </w:p>
    <w:p w:rsidR="00B20385" w:rsidRPr="00A67F90" w:rsidRDefault="00B20385" w:rsidP="00A67F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>1) або оцінити</w:t>
      </w:r>
      <w:r w:rsidR="00402B0B">
        <w:rPr>
          <w:rFonts w:ascii="Times New Roman" w:hAnsi="Times New Roman" w:cs="Times New Roman"/>
          <w:sz w:val="24"/>
          <w:szCs w:val="24"/>
        </w:rPr>
        <w:t xml:space="preserve"> та обрати із запропонованих</w:t>
      </w:r>
      <w:r w:rsidR="003B7B00">
        <w:rPr>
          <w:rFonts w:ascii="Times New Roman" w:hAnsi="Times New Roman" w:cs="Times New Roman"/>
          <w:sz w:val="24"/>
          <w:szCs w:val="24"/>
        </w:rPr>
        <w:t xml:space="preserve"> варіантів</w:t>
      </w:r>
      <w:r w:rsidR="00402B0B">
        <w:rPr>
          <w:rFonts w:ascii="Times New Roman" w:hAnsi="Times New Roman" w:cs="Times New Roman"/>
          <w:sz w:val="24"/>
          <w:szCs w:val="24"/>
        </w:rPr>
        <w:t xml:space="preserve"> рівень</w:t>
      </w:r>
      <w:r w:rsidR="00402B0B" w:rsidRPr="00A67F90">
        <w:rPr>
          <w:rFonts w:ascii="Times New Roman" w:hAnsi="Times New Roman" w:cs="Times New Roman"/>
          <w:sz w:val="24"/>
          <w:szCs w:val="24"/>
        </w:rPr>
        <w:t xml:space="preserve">, який найбільше відповідає реальній ситуації у громаді </w:t>
      </w:r>
      <w:r w:rsidRPr="00A67F90">
        <w:rPr>
          <w:rFonts w:ascii="Times New Roman" w:hAnsi="Times New Roman" w:cs="Times New Roman"/>
          <w:sz w:val="24"/>
          <w:szCs w:val="24"/>
        </w:rPr>
        <w:t>(кожен рівень описано орієнтовн</w:t>
      </w:r>
      <w:r w:rsidR="00402B0B">
        <w:rPr>
          <w:rFonts w:ascii="Times New Roman" w:hAnsi="Times New Roman" w:cs="Times New Roman"/>
          <w:sz w:val="24"/>
          <w:szCs w:val="24"/>
        </w:rPr>
        <w:t>ими альтернативними варіантами;</w:t>
      </w:r>
    </w:p>
    <w:p w:rsidR="00B20385" w:rsidRPr="00A67F90" w:rsidRDefault="00B20385" w:rsidP="00A67F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 xml:space="preserve">2) або погодитися чи спростувати відповідну тезу (надати відповідь “так” або “ні”). </w:t>
      </w:r>
    </w:p>
    <w:p w:rsidR="00B20385" w:rsidRPr="00A67F90" w:rsidRDefault="00B20385" w:rsidP="00A67F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>Також звертаємо вашу увагу, що після кожного питання знаходиться примітка про документальне підтвердження щодо його змісту. Ви надаєте посилання на таку інформацію, за умови її наяності. Якщо інформамація відсутня - залишаєте поле пустим. Адже набільш точно обрати той чи інший рівень ви зможете лише у випадку, коли будете володіти необхідною інформацією, яку можна отримати із різних джерел за вашим вибором (звіти, результати опитування в громаді тощо)</w:t>
      </w:r>
    </w:p>
    <w:p w:rsidR="00B20385" w:rsidRPr="00FC2EB4" w:rsidRDefault="00B20385" w:rsidP="00FC2EB4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062"/>
      </w:tblGrid>
      <w:tr w:rsidR="00FC2EB4" w:rsidRPr="00FC2EB4" w:rsidTr="00F50873">
        <w:trPr>
          <w:trHeight w:val="360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1. Фізична доступність просторів, адміністративних будівель та транспорту</w:t>
            </w:r>
          </w:p>
        </w:tc>
      </w:tr>
      <w:tr w:rsidR="00FC2EB4" w:rsidRPr="00FC2EB4" w:rsidTr="00D977A6">
        <w:trPr>
          <w:trHeight w:val="1080"/>
        </w:trPr>
        <w:tc>
          <w:tcPr>
            <w:tcW w:w="704" w:type="dxa"/>
            <w:vMerge w:val="restart"/>
            <w:noWrap/>
            <w:hideMark/>
          </w:tcPr>
          <w:p w:rsidR="00FC2EB4" w:rsidRPr="00B20385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03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проводиться моніторинг бар'єрів у публічному просторі (будівлі, тротуари, зупинки тощо).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ні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61716E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6171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так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ED13A2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 (за наявності) звіт за результатами проведеного моніторингу наявних бар'єрів у Вашій громаді </w:t>
            </w:r>
            <w:hyperlink r:id="rId8" w:history="1">
              <w:r w:rsidR="00097A6B" w:rsidRPr="001F4FBA">
                <w:rPr>
                  <w:rStyle w:val="a8"/>
                  <w:rFonts w:ascii="Times New Roman" w:eastAsia="Times New Roman" w:hAnsi="Times New Roman" w:cs="Times New Roman"/>
                  <w:i/>
                  <w:sz w:val="24"/>
                  <w:szCs w:val="24"/>
                  <w:lang w:val="ru-RU"/>
                </w:rPr>
                <w:t>https://orativska-gromada.gov.ua/2025-rik-09-20-58-13-08-2025/</w:t>
              </w:r>
            </w:hyperlink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(посилання на звіт)</w:t>
            </w:r>
          </w:p>
        </w:tc>
      </w:tr>
      <w:tr w:rsidR="00FC2EB4" w:rsidRPr="00FC2EB4" w:rsidTr="00D977A6">
        <w:trPr>
          <w:trHeight w:val="97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402B0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Громадський тра</w:t>
            </w:r>
            <w:r w:rsidR="00402B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спорт доступний для людей з порушеннями функціонування та інших маломобільних груп населення. </w:t>
            </w:r>
            <w:r w:rsidR="00F32940" w:rsidRPr="001037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71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6171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транспорт не пристосований для потреб маломобільних груп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відсутні будь-які пристосування (пандуси, низька підлога, фіксатори крісел колісних тощо)</w:t>
            </w:r>
          </w:p>
        </w:tc>
      </w:tr>
      <w:tr w:rsidR="00FC2EB4" w:rsidRPr="00FC2EB4" w:rsidTr="00D977A6">
        <w:trPr>
          <w:trHeight w:val="165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пристосовані лише окремі одиниці транспорту (менше 25%)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доступність носить фрагментарний характер (наприклад, на маршруті лише 1-2 автобуси мають фіксатори для крісел колісних та низьку підлогу)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відповідні адаптації в переважній більшості несправні, застарілі або незручні для використання</w:t>
            </w:r>
          </w:p>
        </w:tc>
      </w:tr>
      <w:tr w:rsidR="00FC2EB4" w:rsidRPr="00FC2EB4" w:rsidTr="00D977A6">
        <w:trPr>
          <w:trHeight w:val="165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Нижче середнього рівень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25–50% транспорту має базові пристосування (також, наприклад, доступний транспорт є на окремих маршрутах або в певні години, але без охоплення більшості)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відсутній системний підхід до забезпечення доступності транспорту та оновлення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пристосування досить часто несправні, застарілі або незручні для використання</w:t>
            </w:r>
          </w:p>
        </w:tc>
      </w:tr>
      <w:tr w:rsidR="00FC2EB4" w:rsidRPr="00FC2EB4" w:rsidTr="00D977A6">
        <w:trPr>
          <w:trHeight w:val="698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половину (понад 50%) транспортних засобів базово пристосовано для маломобільних осіб (наприклад, 6 із 10 автобусів мають пандуси, кнопки виклику водія, місця для крісел колісних)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є системний підхід до оновлення та використання доступного транспорту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деякі адаптації можуть бути несправні, застарілі або незручні для використання</w:t>
            </w:r>
          </w:p>
        </w:tc>
      </w:tr>
      <w:tr w:rsidR="00FC2EB4" w:rsidRPr="00FC2EB4" w:rsidTr="00D977A6">
        <w:trPr>
          <w:trHeight w:val="198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Вище середнього рівня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більшість транспорту (понад 75%) має комплексне обладнання для маломобільних груп (наприклад, 9 із 10 автобусів мають пандуси, кнопки виклику водія, місця для крісел колісних; (пандуси, низька підлога, фіксатори крісел колісних, аудіо/візуальна навігація тощо)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є системний підхід до забезпечення доступності транспорту та оновлення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окремі пристосування можуть мати незначні пошкодження, однак громада забезпечує їх оперативне виявлення, ремонт або заміну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увесь (100%) транспорт на маршруті або в мережі відповідає вимогам доступності (наприклад, усі 10 з 10 автобусів мають комплексні пристосування)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забезпечено системну та стійку доступність на рівні інфраструктури, навчання водіїв та технічного обслуговування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випадки пошкодшень, несправностей або зношення фіксуються та усуваються без затримки згідно з визначеними стандартами обслуговування.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062" w:type="dxa"/>
            <w:hideMark/>
          </w:tcPr>
          <w:p w:rsidR="00FC2EB4" w:rsidRPr="00ED13A2" w:rsidRDefault="00FC2EB4" w:rsidP="00FC19B6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 (за наявності) документальне підтвердження доступності громадського траспорту для осіб з порушеннями функціонування та інших маломобільних груп населення (зокрема, розрахунку відсотків) </w:t>
            </w:r>
            <w:r w:rsidR="00FC19B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>відсутній громадський транспорт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(посилання на звіт)</w:t>
            </w:r>
          </w:p>
        </w:tc>
      </w:tr>
      <w:tr w:rsidR="00FC2EB4" w:rsidRPr="00FC2EB4" w:rsidTr="00D977A6">
        <w:trPr>
          <w:trHeight w:val="103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Громадські зони забезпечено зручними лавками, пішохідними доріжками з рівним покриттям, доступними туалетами, паркувальними місцями з елементами доступності. </w:t>
            </w:r>
            <w:r w:rsidR="00F32940" w:rsidRPr="001037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232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у громадських зонах відсутні або повністю недоступні: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лавки (наприклад, немає або незручні для осіб з порушенням функціонування),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доступні туалети (наприклад, жодного громадського туалету з безбар’єрним входом),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рівні пішохідні доріжки (напркилад, наявне ґрунтове або вибоїсте покриття),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паркувальні місця з елементами доступності (наприклад, відсутні).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немає жодного простору, який би враховував потреби осіб з інвалідністю чи маломобільних груп населення</w:t>
            </w:r>
          </w:p>
        </w:tc>
      </w:tr>
      <w:tr w:rsidR="00FC2EB4" w:rsidRPr="00FC2EB4" w:rsidTr="00D977A6">
        <w:trPr>
          <w:trHeight w:val="198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171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б) </w:t>
            </w:r>
            <w:r w:rsidR="00091DAD" w:rsidRPr="006171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лише окремі об’єкти або зони (менше 25%) мають поодинокі елементи доступності (наприклад, наявні лише одна-дві зручні лавки на всі громадські простори; одна доступна вбиральня, решта – звичайні; паркомісця для осіб з інвалідністю або не позначені, або зайняті сторонніми авто; доріжки мають ділянки з небезпечними нерівностями)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більшість елементів несправні, застарілі або незручні для використання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відсутній системний підхід до розміщення доступних рішень</w:t>
            </w:r>
          </w:p>
        </w:tc>
      </w:tr>
      <w:tr w:rsidR="00FC2EB4" w:rsidRPr="00FC2EB4" w:rsidTr="00D977A6">
        <w:trPr>
          <w:trHeight w:val="198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Рівень 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25% громадських зон мають окремі елементи безбар’єрного облаштування (наприклад, частина зон має доступні доріжки або туалети, але без зв’язку між ними; лавки без підлокітників, вузькі проходи, немає зручної навігації)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окремі зони можуть бути пристосовані, але частково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якомучастина елементів досить часто  несправні, застарілі або незручні для використання</w:t>
            </w:r>
          </w:p>
        </w:tc>
      </w:tr>
      <w:tr w:rsidR="00FC2EB4" w:rsidRPr="00FC2EB4" w:rsidTr="00D977A6">
        <w:trPr>
          <w:trHeight w:val="231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Середній рівень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50% громадських зон мають базове облаштування для осіб з інвалідністю та інших маломобільних груп населення (наприклад, туалети із поручнями; лавки з підлокітниками;  рівні, тверді пішохідні доріжки; паркувальні місця з елементами доступності)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перважана більшість адаптацій доглядаються і підтримуються у належному стані, проте деякі можуть бути несправні, застарілі або незручні для використання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простори можуть бути також частково зоновані логічно (зручне розташування длстурних туалетів, лавок і паркомісць)</w:t>
            </w:r>
          </w:p>
        </w:tc>
      </w:tr>
      <w:tr w:rsidR="00FC2EB4" w:rsidRPr="00FC2EB4" w:rsidTr="00866B21">
        <w:trPr>
          <w:trHeight w:val="699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75% громадських зон у громаді облаштовано з урахуванням потреб осіб з інвалідністю та інших маломобільних груп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наявні комплексні елементи доступності (наприклад, зручні лавки з підлокітниками, пандуси, доступні туалети, рівні, тверді пішохідні доріжки з достатньою шириною; марковані паркувальні місця з елементами доступності)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– як правило, розміщення елементів логічне та зручне: наприклад, зони комфорту (туалети, лавки, паркомісця) розміщено поруч одна з одною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більшість елементів є новими або відремонтованими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наявні незначні пошкодження/несправності окремих адаптацій, які вчасно ремонтуються/замінюються</w:t>
            </w:r>
          </w:p>
        </w:tc>
      </w:tr>
      <w:tr w:rsidR="00FC2EB4" w:rsidRPr="00FC2EB4" w:rsidTr="00D977A6">
        <w:trPr>
          <w:trHeight w:val="232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усі громадські зони (100%) пристосовано до потреб осіб з інвалідністю та інших маломобільних груп населення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усі громадські зони облаштовано та зоновано з урахуванням принципів універсального дизайну та функціональних доступних рішень (всі зони мають комплексні, функціональні рішення, які охоплюють потреби людей з порушеннями зору, слуху, опорно-рухового апарату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доступність забезпечена на рівні навігації та зонування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наявна система моніторингу та технічного обслуговування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усі випадки пошкодшень, несправностей або зношення фіксуються та усуваються без затримки згідно з визначеними стандартами обслуговування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Надайте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документальне підтвердження забезпечення зручними лавками, пішохідними доріжками з рівним покриттям, доступними туалетами, паркувальними місцями з елементами доступності громадських місць Вашої громади (зокрема, розрахунку відсотків)</w:t>
            </w:r>
            <w:r w:rsid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091DAD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091DAD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091DAD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091DAD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091DAD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091DAD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091DAD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402B0B">
        <w:trPr>
          <w:trHeight w:val="507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1037D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Громадські</w:t>
            </w:r>
            <w:r w:rsidRPr="001037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зони</w:t>
            </w:r>
            <w:r w:rsidRPr="001037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забезпечено</w:t>
            </w:r>
            <w:r w:rsidRPr="001037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освітленням</w:t>
            </w:r>
            <w:r w:rsidRPr="001037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. </w:t>
            </w:r>
            <w:r w:rsidR="00F32940" w:rsidRPr="001037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Виберіть</w:t>
            </w:r>
            <w:r w:rsidR="00F32940" w:rsidRPr="001037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один</w:t>
            </w:r>
            <w:r w:rsidR="00F32940" w:rsidRPr="001037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</w:t>
            </w:r>
            <w:r w:rsidR="00F32940" w:rsidRPr="001037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варіантів</w:t>
            </w:r>
            <w:r w:rsidR="00F32940" w:rsidRPr="001037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відповіді</w:t>
            </w:r>
            <w:r w:rsidR="00F32940" w:rsidRPr="001037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1037D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громадські простори не освітлюються в темний час доби або систематичне освітлення відсутнє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71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6171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джерела освітлення наявні лише в окремих зонах (менше 25%)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можливим є також варіант, при якому джерела освітлення в переважній більшості несправні 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</w:t>
            </w:r>
            <w:r w:rsidR="003B7B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світлення наявні у понад 25% зон, однак розташовані можуть бути нерівномірно, поодиноко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освітлення може бути слабким, не освтілювати всі зони</w:t>
            </w:r>
          </w:p>
        </w:tc>
      </w:tr>
      <w:tr w:rsidR="00FC2EB4" w:rsidRPr="00FC2EB4" w:rsidTr="004704CD">
        <w:trPr>
          <w:trHeight w:val="459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 більшості зон (понад 50%) забезпечено освітлення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джерела освітлення логічно розміщені та в переважній більшості є справними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освітленням забезпечено переважну більшість простору громадських зон</w:t>
            </w:r>
          </w:p>
        </w:tc>
      </w:tr>
      <w:tr w:rsidR="00FC2EB4" w:rsidRPr="00FC2EB4" w:rsidTr="004704CD">
        <w:trPr>
          <w:trHeight w:val="2406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більшість громадських зон (понад 75%) забезпечено якісним, рівномірним освітленням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освітлюються ключові маршрути переміщення, зони очікування, входи до публічних будівель, пішохідні доріжки та паркувальні місця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більшість джерел освітлення знаходяться в справному стані, можуть мати незначні пошкодження, а у разі несправності - передбачено систему оперативного ремонту або заміни</w:t>
            </w:r>
          </w:p>
        </w:tc>
      </w:tr>
      <w:tr w:rsidR="00FC2EB4" w:rsidRPr="00FC2EB4" w:rsidTr="00D977A6">
        <w:trPr>
          <w:trHeight w:val="199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громадські простори (100%) мають якісне освітлення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освітленням забезпечено всі маршрути громадських зон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наявність освітлення контролюєтьсяя та підтримується стабільна робота його джерел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 громаді функціонує механізм моніторингу роботи освітлення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866B2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забезпечення громадських зон Вашої громади освітленням (зокрема, розрахунку відсотків)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Зупинки громадського транспорту громади обладнані навісами, інформаційними табло та зонами очікування з елементами доступності. </w:t>
            </w:r>
            <w:r w:rsidR="00F32940" w:rsidRPr="001037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всі наявні зупинки не мають жодного елементу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відсутні навіси, сидіння, інформація про маршрути.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обладнані лише окремі зупинки (менше 25%) або фрагменти зупинок (наприклад, наявні поодинокі навіси, сидіння; інформаційні табло або взагалі відсутні або часто не працюють)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F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EF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Рівень 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доступними є понад 25% з наявних зупинок (напрклад, є навіси, місця для очікування, подекуди - інформаційні табло)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відсутня системність в облаштуванні зупинок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облаштування зупинок може бути частково пошкодженим або зношеним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50% зупинок обладнані базовими елементами доступності (наприклад, наявні навіси, лавки, пандуси, інформаційні табло)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в переважній більшості випадків враховані потреби маломобільних груп населення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можуть бути наявні незначні пошкодження елементів облаштування, які вчасно ремонтуються/замінюються</w:t>
            </w:r>
          </w:p>
        </w:tc>
      </w:tr>
      <w:tr w:rsidR="00FC2EB4" w:rsidRPr="00FC2EB4" w:rsidTr="00D977A6">
        <w:trPr>
          <w:trHeight w:val="198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зупинок у громаді обладнано елементами доступності (напркилад, навісами, лавками, пандусами, контрастною розміткою, справними інформаційними табло)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потреби маломобільних груп населення враховано комплексно, у тому числі доступність простору для крісел колісних, людей з тростинами або дитячими візками.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елементи облаштування (сидіння, навіси тощо) підтримуються в належному стані, дрібні пошкодження або зношення вчасно усуваються.</w:t>
            </w:r>
          </w:p>
        </w:tc>
      </w:tr>
      <w:tr w:rsidR="00FC2EB4" w:rsidRPr="00FC2EB4" w:rsidTr="00D977A6">
        <w:trPr>
          <w:trHeight w:val="84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всі зупинки громадського транспорту (100%) відповідають вимогам інклюзивності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враховано потреби всіх груп населення (наприклад, наявна система озвучування інформації з табло)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всі зупинки громадського транспорту бладнано комплексно: навіси, лавки, місця для крісел колісних, пандуси з поручнями, тактильна плитка, контрастна розмітка, інформаційні табло з візуальною та звуковою подачею інформації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елементи облаштування регулярно обслуговується, ремонтуються, оновлюються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функціонує стала система моніторингу, обслуговування і оновлення інфраструктури зупинок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866B21" w:rsidRDefault="00FC2EB4" w:rsidP="004704CD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обладнаних навісами зупинок громадського транспорту Вашої громади інформаційними табло та зонами очікування з елементами доступності (зокрема, розрахунку відсотків)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4704C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 xml:space="preserve">інформаційні табло відсутні 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(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наявна відповідна розмітка, освітлення та маркування з елементами доступності пішохідних переходів у місцях з високим трафіком. </w:t>
            </w:r>
            <w:r w:rsidR="00F32940" w:rsidRPr="001037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відсутня будь-яка розмітка та/або освітлення на усіх пішохідних переходах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пішохідні переходи важко помітні та складні для орієнтації, особливо в темний час доби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 відсутні будь-які елементами доступності пішохідних переходів у місцях з високим трафіком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F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FC2EB4" w:rsidRPr="00EF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менше 25% пішохідних переходів мають стару, стерту або частково знищену розмітку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освітлення часто відсутнє або не працює взагалі (до 25% пішохідних переходів)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відсутні маркування для осіб з порушенням зору</w:t>
            </w:r>
          </w:p>
        </w:tc>
      </w:tr>
      <w:tr w:rsidR="00FC2EB4" w:rsidRPr="00FC2EB4" w:rsidTr="00F32940">
        <w:trPr>
          <w:trHeight w:val="742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Рівень 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25% переходів мають розмітку, що може бути частково стертою або нерівномірно нанесеною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понад 25% переходів мають базове освітлення, однак воно незабезпечує якісне освітлення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– можливим є також варіант, при якому тактильні елементи або спеціальні маркування встановлено лише в окремих місцях без єдиного підходу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1037D1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F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г) </w:t>
            </w:r>
            <w:r w:rsidR="00FC2EB4" w:rsidRPr="00EF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Середній рівень</w:t>
            </w:r>
            <w:r w:rsidR="00FC2EB4" w:rsidRPr="00103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50% переходів у зонах з високим трафіком облаштовано розміткою, маркуванням, освітленням</w:t>
            </w:r>
            <w:r w:rsidR="00FC2EB4" w:rsidRPr="00103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розмітка на більшості переходів (понад 50%) середнього рівня збереження, але частина з них потребує оновлення</w:t>
            </w:r>
            <w:r w:rsidR="00FC2EB4" w:rsidRPr="00103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впроваджено частковий підхід до врахування потреб маломобільних груп</w:t>
            </w:r>
          </w:p>
        </w:tc>
      </w:tr>
      <w:tr w:rsidR="00FC2EB4" w:rsidRPr="00FC2EB4" w:rsidTr="00D977A6">
        <w:trPr>
          <w:trHeight w:val="698"/>
        </w:trPr>
        <w:tc>
          <w:tcPr>
            <w:tcW w:w="704" w:type="dxa"/>
            <w:vMerge/>
            <w:hideMark/>
          </w:tcPr>
          <w:p w:rsidR="00FC2EB4" w:rsidRPr="001037D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1037D1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д) </w:t>
            </w:r>
            <w:r w:rsidR="00FC2EB4" w:rsidRPr="00103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Рівень вище середнього</w:t>
            </w:r>
            <w:r w:rsidR="00FC2EB4" w:rsidRPr="00103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більшість пішохідних переходів (понад 75%) у місцях з високим трафіком облаштовано з урахуванням потреб осіб з інвалідністю та маломобільних груп</w:t>
            </w:r>
            <w:r w:rsidR="00FC2EB4" w:rsidRPr="00103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наявне якісне освітлення, свіжа, чітка розмітка, а також тактильні елементи для орієнтації осіб з порушенням зору у понад 75%</w:t>
            </w:r>
            <w:r w:rsidR="00FC2EB4" w:rsidRPr="00103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првило, у разі пошкоджень або зношення елементів забезпечується їх своєчасне відновлення чи заміна</w:t>
            </w:r>
            <w:r w:rsidR="00FC2EB4" w:rsidRPr="00103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підхід до забезпечення доступності та оновлення пристосувань є системним</w:t>
            </w:r>
          </w:p>
        </w:tc>
      </w:tr>
      <w:tr w:rsidR="00FC2EB4" w:rsidRPr="00FC2EB4" w:rsidTr="00D977A6">
        <w:trPr>
          <w:trHeight w:val="1665"/>
        </w:trPr>
        <w:tc>
          <w:tcPr>
            <w:tcW w:w="704" w:type="dxa"/>
            <w:vMerge/>
            <w:hideMark/>
          </w:tcPr>
          <w:p w:rsidR="00FC2EB4" w:rsidRPr="001037D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1037D1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</w:t>
            </w:r>
            <w:r w:rsidR="00091DAD" w:rsidRPr="00103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</w:t>
            </w:r>
            <w:r w:rsidR="00FC2EB4" w:rsidRPr="00103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переходи (100%) в місцях із трафіком  відповідають вимогам інклюзивності та універсального дизайну</w:t>
            </w:r>
            <w:r w:rsidR="00FC2EB4" w:rsidRPr="00103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встановлено якісне освітлення, яскраву та оновлену розмітку, контрастні елементи, тактильну плитку, зручну навігацію</w:t>
            </w:r>
            <w:r w:rsidR="00FC2EB4" w:rsidRPr="00103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всі елементи підтримується в належному стані, ремонтуються, оновлюються без затримок</w:t>
            </w:r>
            <w:r w:rsidR="00FC2EB4" w:rsidRPr="00103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доступність переходів враховується під час поточних ремонтів і реконструкцій дорожньої інфраструктури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1037D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866B2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наявної відповідної розмітки, освітлення та маркування з елементами доступності пішохідних переходів у місцях з високим трафіком у Вашій громаді (зокрема, розрахунку відсотків)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Світлофори громади забезпечено елементами оповіщення для осіб з порушенням зору. </w:t>
            </w:r>
            <w:r w:rsidR="00F32940" w:rsidRPr="001037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F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а) </w:t>
            </w:r>
            <w:r w:rsidR="00091DAD" w:rsidRPr="00EF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Не забезпечено належний рівень</w:t>
            </w:r>
            <w:r w:rsidR="00EF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F3593" w:rsidRPr="00EF359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  <w:t>світлофори в громаді відсутні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усі світлофори не мають жодних елементів звукового оповіщення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орієнтація для осіб із порушенням зору є вркай ускладненою чи недоступною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жодних заходів щодо врахування інклюзивності на рівні світлофорної інфраструктури не передбачено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менше 25% світлофорів (наприколад, лише 1–2 світлофори) мають звукове оповіщення, або вони часто не працюють або встановлені хаотично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розміщення таких пристроїв не враховує зони пріоритетного пішохідного руху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відсутня система обслуговування таких пристроїв</w:t>
            </w:r>
          </w:p>
        </w:tc>
      </w:tr>
      <w:tr w:rsidR="00FC2EB4" w:rsidRPr="00FC2EB4" w:rsidTr="00D977A6">
        <w:trPr>
          <w:trHeight w:val="165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Рівень 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25% світлофорів мають звукове оповіщення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елементи доступності досить часто неузгоджені або несправні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 як правило, розміщення таких пристроїв частково враховує зони пріоритетного пішохідного руху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 можливим є також варіант, при якому роботи з  обслуговування таких пристроїв проводяться епізодично</w:t>
            </w:r>
          </w:p>
        </w:tc>
      </w:tr>
      <w:tr w:rsidR="00FC2EB4" w:rsidRPr="00FC2EB4" w:rsidTr="00D977A6">
        <w:trPr>
          <w:trHeight w:val="231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Середній рівень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50% світлофорів у громаді обладнано функціональними системами звукового оповіщення, які допомагають орієнтуватися особам з порушенням зору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пріоритет розміщення таких пристроїв надано у районах з інтенсивним трафіком та пішохідним маршрутам загального користування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частина систем може бути несправною або працювати нестабільно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ремонт здійснюється переважно за зверненнями громадян, а не на основі регулярного моніторингу</w:t>
            </w:r>
          </w:p>
        </w:tc>
      </w:tr>
      <w:tr w:rsidR="00FC2EB4" w:rsidRPr="00FC2EB4" w:rsidTr="00D977A6">
        <w:trPr>
          <w:trHeight w:val="198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світлофорів у громаді обладнано функціональними системами звукового оповіщення, які допомагають орієнтуватися особам з порушенням зору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пріоритет надано зонам з інтенсивним рухом, поруч із громадськими установами, школами та зупинками транспорту.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усі елементи змонтовані з урахуванням просторової логіки руху пішоходів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у разі несправностей або пошкоджень вживаються оперативні заходи щодо ремонту чи заміни</w:t>
            </w:r>
          </w:p>
        </w:tc>
      </w:tr>
      <w:tr w:rsidR="00FC2EB4" w:rsidRPr="00FC2EB4" w:rsidTr="00D977A6">
        <w:trPr>
          <w:trHeight w:val="199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світлофори (100%)  у громаді обладнано функціональними системами звукового оповіщення, які допомагають орієнтуватися особам з порушенням зору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відповідні системи перевіряються й обслуговуються регулярно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звукові сигнали мають регульовану гучність відповідно до рівня шуму в навколишньому середовищі (адаптивна система)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впроваджено систему планового технічного обслуговування, моніторингу та превентивного ремонту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підтвердження забезпечення світлофорів елементами оповіщення для осіб з порушенням зору у Вашій громаді (зокрема, </w:t>
            </w: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lastRenderedPageBreak/>
              <w:t>розрахунку відсотків)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Публічні простори та адмінбудівлі доступні для маломобільних груп. </w:t>
            </w:r>
            <w:r w:rsidR="00F32940" w:rsidRPr="001037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091DAD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091DAD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 забезпечено належний рівень</w:t>
            </w:r>
            <w:r w:rsidR="00FC2EB4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відсутні будь-які пристосування для маломобільних груп населення у публічних просторах та адмінбудівлях (відсутні пандуси, ліфти, широкі проходи, тактильні елементи тощо)</w:t>
            </w:r>
          </w:p>
        </w:tc>
      </w:tr>
      <w:tr w:rsidR="00FC2EB4" w:rsidRPr="00091DAD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091DAD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Низький рівень</w:t>
            </w:r>
            <w:r w:rsidR="00FC2EB4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загальна частка доступних об'єктів - менше 25%</w:t>
            </w:r>
            <w:r w:rsidR="00FC2EB4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деякі об'єкти мають окремі пристосування, але вони поодинокі й несистемні</w:t>
            </w:r>
            <w:r w:rsidR="00FC2EB4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пристосування встановлено вибірково, часто за ініціативою окремих установ</w:t>
            </w:r>
          </w:p>
        </w:tc>
      </w:tr>
      <w:tr w:rsidR="00FC2EB4" w:rsidRPr="00FC2EB4" w:rsidTr="00D977A6">
        <w:trPr>
          <w:trHeight w:val="1650"/>
        </w:trPr>
        <w:tc>
          <w:tcPr>
            <w:tcW w:w="704" w:type="dxa"/>
            <w:vMerge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доступність забезпечено у частині просторів та адмінбудівель (понад 25%)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відсутній системний  підхід до забезпечення доступності та оновлення пристосувань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доступ є обмеженим, особливо у громадських місцях з великим потоком людей</w:t>
            </w:r>
          </w:p>
        </w:tc>
      </w:tr>
      <w:tr w:rsidR="00FC2EB4" w:rsidRPr="00FC2EB4" w:rsidTr="00D977A6">
        <w:trPr>
          <w:trHeight w:val="165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F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EF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переважна більшість публічних просторва та адмінбудівель (понад 50%) мають необхідні пристосування для маломобільних груп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доступ забезпечено системно (наявні пандуси, ліфти, широкі проходи, тактильні елементи, навігація, доступні туалети тощо)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можуть враховуватися не всі потреби осіб з порушеннями функціонування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маломобільні групи населення можуть вільно пересуватись більшістю просторів</w:t>
            </w:r>
          </w:p>
        </w:tc>
      </w:tr>
      <w:tr w:rsidR="00FC2EB4" w:rsidRPr="00FC2EB4" w:rsidTr="00D977A6">
        <w:trPr>
          <w:trHeight w:val="264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публічних просторів та адмінбудівель у громаді мають функціональні пристосування для маломобільних груп населення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забезпечено системний підхід до облаштування простору (наприклад, наявні пандуси, ліфти, широкі дверні проходи, поручні, тактильні елементи, адаптовані туалети, частково - візуальна та аудіо навігація)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наявна логіка доступного зонування, наприклад, всі основні сервіси розміщені на доступних поверхах або є ліфт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виявлені пошкодження або зношення елементів доступності ремонтуються в оперативні строки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враховуються потреби різних груп, однак окремі інклюзивні рішення можуть бути неповними або потребувати удосконалення</w:t>
            </w:r>
          </w:p>
        </w:tc>
      </w:tr>
      <w:tr w:rsidR="00FC2EB4" w:rsidRPr="00FC2EB4" w:rsidTr="00D977A6">
        <w:trPr>
          <w:trHeight w:val="199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(100%) публічні простори та адміністративні будівлі громади облаштовано комплексно, згідно з принципами універсального дизайну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враховано потреби всіх осіб з тим чи іншим порушенням функціонування (рух, зір, слух тощо)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передбачено навігацію кількома каналами - зорову, тактильну, аудіо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маломобільні групи населення можуть вільно пересуватись та користуватись усіма функціональними зонами без обмежень чи супроводу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вроваджено систему регулярного моніторингу технічного стану адаптацій, ремонту та оновлення</w:t>
            </w:r>
          </w:p>
        </w:tc>
      </w:tr>
      <w:tr w:rsidR="00FC2EB4" w:rsidRPr="00FC2EB4" w:rsidTr="00D977A6">
        <w:trPr>
          <w:trHeight w:val="690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забезпечення доступності публічних просторів та адмінбудівель у Вашій громаді (зокрема, розрахунку відсотків)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 громаді наявні зелені зони (парки, сквери тощо) в рамках пішої доступності із відповідним облаштуванням щодо вимог безбар’рності (10 хв пішки).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 межах пішої доступності (до 10 хвилин ходьби) від житлових масивів відсутні будь-які зелені зони (парки, сквери, громадські сади).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облаштування з урахуванням безбар’єрності (наприклад, відсутні пандуси, доріжки з твердим покритттям, зручні лавки, тактильні елементи, доступні входи)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навколишній простір є непридатним для відпочинку осіб із порушенням функціонування.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 межах 10 хв ходьби наявні лише 1 зелена зона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доступні лише поодинокі елементи безбар’єрності, часто несправні або незручні (наприклад, один пандус, зношені лавки тощо).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вхід може бути важкодоступним або незручним для маломобільних груп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зелені зони в межах пішої доступності наявні, але охоплюють лише частину району (25–50% житлових кварталів)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зони частково облаштовані (наприклад, наявні деякі доступні доріжки, пандуси, лавки, але відсутня системність)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елементи доступності розташовані випадково, частина з них – несправна або не оновлювалась роками</w:t>
            </w:r>
          </w:p>
        </w:tc>
      </w:tr>
      <w:tr w:rsidR="00FC2EB4" w:rsidRPr="00FC2EB4" w:rsidTr="00F32940">
        <w:trPr>
          <w:trHeight w:val="1309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F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г) </w:t>
            </w:r>
            <w:r w:rsidR="00FC2EB4" w:rsidRPr="00EF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50% жителів громади мають доступ до облаштованих зелених зон у межах 10 хвилин пішої ходи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зелені зони базово пристосовані для осіб з інвалідністю чи маломобільних груп населення (наприклал, є доріжки з твердим покриттям, пандуси, лавки з підлокітниками, частково - доступні туалети)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– можливим є також варіант, при якому може бракувати окремих елементів доступності  (наприклад, тактильних елементів, навігації, логіки зонування)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виявлені несправності усуваються, але системного контролю або моніторингу немає</w:t>
            </w:r>
          </w:p>
        </w:tc>
      </w:tr>
      <w:tr w:rsidR="00FC2EB4" w:rsidRPr="00FC2EB4" w:rsidTr="00D977A6">
        <w:trPr>
          <w:trHeight w:val="198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населення громади мають регулярний доступ до зелених зон із комплексними елементами доступності (у радіусі 10 хв ходьби)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зелені зони облаштовані системно (наприклад, є доступні входи, доріжки з твердим, рівним покриттям, зручні лавки з підлокотниками, доступні туалети, частково – тактильна навігація, зони затінення)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забезпечено логічне зонування, зручні маршрути для осіб з різними типами порушень.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несправності усуваються оперативно</w:t>
            </w:r>
          </w:p>
        </w:tc>
      </w:tr>
      <w:tr w:rsidR="00FC2EB4" w:rsidRPr="00FC2EB4" w:rsidTr="00D977A6">
        <w:trPr>
          <w:trHeight w:val="199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житлові квартали громади мають зелені зони в межах 10-хвилинної пішої доступності, повністю облаштовані за принципами універсального дизайну.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 зонах є єдоступні входи, доріжки з твердим, рівним покриттям, зручні лавки з підлокотниками, доступні туалети, тактильна навігація, зони затінення, сенсорні доріжки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елементи підтримуються в належному стані, є система регулярного технічного обслуговування та моніторингу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зелені зони є інклюзивними, безпечними та комфортними для всіх суспільних груп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наявності зелених зони (парки, сквери тощо) в рамках пішої доступності із відповідним облаштуванням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D977A6" w:rsidTr="00D977A6">
        <w:trPr>
          <w:trHeight w:val="345"/>
        </w:trPr>
        <w:tc>
          <w:tcPr>
            <w:tcW w:w="704" w:type="dxa"/>
            <w:noWrap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2EB4" w:rsidRPr="00FC2EB4" w:rsidTr="00F50873">
        <w:trPr>
          <w:trHeight w:val="360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2. Участь мешканців у прийнятті рішень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працює механізм залучення різних суспільних груп (жінок, молоді, ВПО, осіб з інвалідністю) до прийняття рішень, які стосуються життя у Вашій громаді, з рекомендованою мінімальною частотою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1 раз на 1 квартал.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D977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відсутній механізм залучення різних суспільних груп (жінок, молоді, ВПО, осіб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 прийняття рішень, які стосуються життя у Вашій громаді</w:t>
            </w:r>
          </w:p>
        </w:tc>
      </w:tr>
      <w:tr w:rsidR="00FC2EB4" w:rsidRPr="00D977A6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наявний механізм залучення різних суспільних груп (жінок, молоді, ВПО, осіб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 прийняття рішень, які стосуються життя у Вашій громаді з частотою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 раз на рік</w:t>
            </w:r>
          </w:p>
        </w:tc>
      </w:tr>
      <w:tr w:rsidR="00FC2EB4" w:rsidRPr="00D977A6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наявний механізм залучення різних суспільних груп (жінок, молоді, ВПО, осіб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 прийняття рішень, які стосуються життя у Вашій громаді 1 раз на 3 квартали </w:t>
            </w:r>
            <w:r w:rsidR="00FC2EB4" w:rsidRPr="00D977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FC2EB4" w:rsidRPr="00D977A6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наявний механізм залучення різних суспільних груп (жінок, молоді, ВПО, осіб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 прийняття рішень, які стосуються життя у Вашій громаді 1 раз на 2 квартали року </w:t>
            </w:r>
          </w:p>
        </w:tc>
      </w:tr>
      <w:tr w:rsidR="00FC2EB4" w:rsidRPr="00D977A6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8967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Рівень вище середнього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D977A6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наявний механізм залучення різних сцспільних груп (жінок, молоді, ВПО, людей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 прийняття рішень, які стосуються життя у Вашій громаді 1 раз на 1 квартал року </w:t>
            </w:r>
          </w:p>
        </w:tc>
      </w:tr>
      <w:tr w:rsidR="00FC2EB4" w:rsidRPr="00D977A6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наявний механізм залучення різних суспільних груп (жінок, молоді, ВПО, осіб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 прийняття рішень, які стосуються життя у Вашій громаді щомісячно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наявного механізму залучення різних суспільних груп до прийняття рішень, які стосуються життя Вашої громади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9" w:history="1">
              <w:r w:rsidR="0049332B" w:rsidRPr="00A0606F">
                <w:rPr>
                  <w:rStyle w:val="a8"/>
                  <w:rFonts w:ascii="Times New Roman" w:eastAsia="Times New Roman" w:hAnsi="Times New Roman" w:cs="Times New Roman"/>
                  <w:i/>
                  <w:sz w:val="24"/>
                  <w:szCs w:val="24"/>
                  <w:lang w:val="ru-RU"/>
                </w:rPr>
                <w:t>https://orativska-gromada.gov.ua/molodizhna-rada-13-24-14-02-08-2021/</w:t>
              </w:r>
            </w:hyperlink>
            <w:r w:rsidR="0049332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, </w:t>
            </w:r>
            <w:r w:rsidR="0049332B" w:rsidRPr="0049332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Проводяться регулярні публічні консультації з питань безбар’єрності та інклюзії, з рекомендованою мінімальною частотою 1 раз на 1 квартал.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відсутнє проведення регулярних публічних консультацій з питань безбар’єрності та інклюзії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11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511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проведення публічних консультацій протягом 1-го кварталу року (1 раз на рік)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11D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511D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Рівень 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проведення публічних консультацій протягом 2-х кварталів року (2 рази на рік)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проведення публічних консультацій протягом 3-х кварталів року (3 рази на рік)</w:t>
            </w:r>
          </w:p>
        </w:tc>
      </w:tr>
      <w:tr w:rsidR="00FC2EB4" w:rsidRPr="00FC2EB4" w:rsidTr="00D977A6">
        <w:trPr>
          <w:trHeight w:val="687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проведення публічних консультацій щоквартально (4 рази на рік)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проведення публічних консультацій щомісячно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Додайте, будь ласка, протокол/звіт за результатами проведених публічних консультацій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Представники різних суспільних груп населення, що проживають у громаді,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входять до складу дорадчих органів. </w:t>
            </w:r>
            <w:r w:rsidR="00F32940" w:rsidRPr="001037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відсутня залученість представників різних суспільних груп населення, що проживають у громаді до складу дорадчих органів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залучено менше 25% представників різних суспільних груп населення, що проживають у громаді, до складу дорадчих органів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залучено понад 25% представників різних суспільних груп населення, що проживають у громаді, до складу дорадчих органів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8967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залучено понад 50% представників різних суспільних груп населення, що проживають у громаді, до складу дорадчих органів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залучено понад 75% представників різних суспільних груп населення, що проживають у громаді, до складу дорадчих органів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залучено 100% представників різних суспільних груп населення, що проживають у громаді до складу дорадчих органів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кількості та відсоткового коефіцієнту представників різних суспільних груп населення, що входять до складу дорадчих органів у Вашій громаді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діє програма/програми підтримки ініціатив мешканців (фінансування за кошти донорів проєктів МТД).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15138C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1513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 w:rsidRPr="001513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або ж активне посилання на таку програму/програми, а також документальне підтвердження результатів наданої підтримки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забезпечено опублікування річного звіту громади щодо бюджетування у відкритому доступі.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32321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D323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 w:rsidRPr="00D323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D323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активне посилання на опублікований річний звіт Вашої громади щодо бюджетування у відкритому доступі (за попередній звітний період або за </w:t>
            </w: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lastRenderedPageBreak/>
              <w:t xml:space="preserve">поточний у разі наявності). </w:t>
            </w:r>
            <w:hyperlink r:id="rId10" w:history="1">
              <w:r w:rsidR="00D32321" w:rsidRPr="00A0606F">
                <w:rPr>
                  <w:rStyle w:val="a8"/>
                  <w:rFonts w:ascii="Times New Roman" w:eastAsia="Times New Roman" w:hAnsi="Times New Roman" w:cs="Times New Roman"/>
                  <w:i/>
                  <w:sz w:val="24"/>
                  <w:szCs w:val="24"/>
                  <w:lang w:val="ru-RU"/>
                </w:rPr>
                <w:t>https://orativska-gromada.gov.ua/vikonannya-bjudzhetu-gromadi-08-16-29-27-08-2026/</w:t>
              </w:r>
            </w:hyperlink>
            <w:r w:rsidR="00D323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, </w:t>
            </w:r>
            <w:hyperlink r:id="rId11" w:history="1">
              <w:r w:rsidR="00D32321" w:rsidRPr="00A0606F">
                <w:rPr>
                  <w:rStyle w:val="a8"/>
                  <w:rFonts w:ascii="Times New Roman" w:eastAsia="Times New Roman" w:hAnsi="Times New Roman" w:cs="Times New Roman"/>
                  <w:i/>
                  <w:sz w:val="24"/>
                  <w:szCs w:val="24"/>
                  <w:lang w:val="ru-RU"/>
                </w:rPr>
                <w:t>https://orativska-gromada.gov.ua/vikonannya-bjudzhetu-gromadi-14-12-19-19-02-2026/</w:t>
              </w:r>
            </w:hyperlink>
            <w:r w:rsidR="00D323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D323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D323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D323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D323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забезпечено проведення відкритих слухань громади щодо місцевих проєктів розвитку. </w:t>
            </w:r>
            <w:r w:rsidR="00F32940" w:rsidRPr="001037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не проводиться відкритих слухань громади щодо місцевих проєктів розвитку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C7A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7C7A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проведено 1 відкрите слухання громади щодо місцевих проєктів розвитку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проведено 2-3 відкритих слухань громади щодо місцевих проєктів розвитку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проведено 4-5 відкритих слухань громади щодо місцевих проєктів розвитку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проведено 6-9 відкритих слухань громади щодо місцевих проєктів розвитку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проведено 10 і більше відкритих слухань громади щодо місцевих проєктів розвитку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протокол/звіт за результатами проведення відкритих слухань громади щодо місцевих проєктів розвитку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2" w:history="1">
              <w:r w:rsidR="007C7AD6" w:rsidRPr="00A0606F">
                <w:rPr>
                  <w:rStyle w:val="a8"/>
                  <w:rFonts w:ascii="Times New Roman" w:eastAsia="Times New Roman" w:hAnsi="Times New Roman" w:cs="Times New Roman"/>
                  <w:i/>
                  <w:sz w:val="24"/>
                  <w:szCs w:val="24"/>
                  <w:lang w:val="ru-RU"/>
                </w:rPr>
                <w:t>https://orativska-gromada.gov.ua/2026-rik-14-54-46-06-05-2026/</w:t>
              </w:r>
            </w:hyperlink>
            <w:r w:rsidR="007C7AD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Громада залучає зовнішнє фінансування, таке як гранти та пільгове фінансування від міжнародних партнерів.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12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A612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громада не залучає зовнішнє фінансування таке як гранти та пільгове фінансування від міжнародних партнерів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вищевказане зовнішнє фінансування складає менше 25% від бюджету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вищевказане зовнішнє фінансування складає понад 25% від бюджету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 вищевказане зовнішнє фінансування складає понад 50% від бюджету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вищевказане зовнішнє фінансування складає понад 75% від бюджету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вищевказане зовнішнє фінансування складає 100% від бюджету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залучення зовнішнього фінансування, а також зазначте який відсоток від місцевого бюджету воно складає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 є наявними громадські організації, що займаються підтримкою осіб з інвалідністю.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662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9662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немає наявних громадських організацій, що займаються підтримкою осіб з інвалідністю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наявна 1 громадська організація, що займається підтримкою осіб з інвалідністю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наявні 2-3 громадські організації, що займаються підтримкою осіб з інвалідністю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наявні 4-5 громадських організацій, що займаються підтримкою осіб з інвалідністю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наявні 6-9 громадських організацій, що займаються підтримкою осіб з інвалідністю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наявні 10 і більше громадських організацій, що займаються підтримкою осіб з інвалідністю 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громадських організацій з назвами, що займаються підтримкою осіб з інвалідністю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інформацію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наявна місцева Рада безбарʼєрності та проводяться засідання протягом року. </w:t>
            </w:r>
            <w:r w:rsidR="00F32940" w:rsidRPr="001037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відсутня Рада Безбар'єрності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наявна рада та проведення одного засідання протягом року (1 раз на рік)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513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1513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Рівень 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наявна рада та проведення одного засідання 2 рази на рік (раз на рів року)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наявна рада та проведення одного засідання 3 рази на рік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наявна рада та проведення одного засідання щоквартально (4 рази на рік)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наявна рада та проведення засідань більше 4-х разів на рік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проведення місцевої Ради безбар'єрності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3" w:history="1">
              <w:r w:rsidR="009662C6" w:rsidRPr="00A0606F">
                <w:rPr>
                  <w:rStyle w:val="a8"/>
                  <w:rFonts w:ascii="Times New Roman" w:eastAsia="Times New Roman" w:hAnsi="Times New Roman" w:cs="Times New Roman"/>
                  <w:i/>
                  <w:sz w:val="24"/>
                  <w:szCs w:val="24"/>
                  <w:lang w:val="ru-RU"/>
                </w:rPr>
                <w:t>https://orativska-gromada.gov.ua/protokoli-zasidannya-radi-11-23-49-30-06-2025/</w:t>
              </w:r>
            </w:hyperlink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новину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D977A6" w:rsidTr="00D977A6">
        <w:trPr>
          <w:trHeight w:val="330"/>
        </w:trPr>
        <w:tc>
          <w:tcPr>
            <w:tcW w:w="704" w:type="dxa"/>
            <w:noWrap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3. Стійкість громади 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проводиться  щорічне громадське опитування щодо потреб мешканців.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930F90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930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 w:rsidRPr="00930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посилання на результати проведеного щорічного громадського опитування щодо потреб мешканців у Вашій громаді </w:t>
            </w:r>
            <w:hyperlink r:id="rId14" w:history="1">
              <w:r w:rsidR="00CF5F18" w:rsidRPr="00A0606F">
                <w:rPr>
                  <w:rStyle w:val="a8"/>
                  <w:rFonts w:ascii="Times New Roman" w:eastAsia="Times New Roman" w:hAnsi="Times New Roman" w:cs="Times New Roman"/>
                  <w:i/>
                  <w:sz w:val="24"/>
                  <w:szCs w:val="24"/>
                  <w:lang w:val="ru-RU"/>
                </w:rPr>
                <w:t>https://orativska-gromada.gov.ua/news/1783333481/</w:t>
              </w:r>
            </w:hyperlink>
            <w:r w:rsidR="00CF5F1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наявний власний план дій (план евакуації) на випадок надзвичайних ситуацій.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1D27C6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1D27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 w:rsidRPr="001D27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наявного власного плану дій Вашої громади (план евакуації) на випадок надзвичайних ситуацій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план дій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Різні суспільні групи населення, що проживають у громаді, включені у план дій громади на випадок надзвичайних ситуацій.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4149AA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4149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 w:rsidRPr="004149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плану дій Вашої громади на випадок надзвичайних ситуацій, де включено різні суспільні групи населення, що проживають у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план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проводяться тренінги або навчання з безпеки життєдіяльності для мешканців (протягом року). </w:t>
            </w:r>
            <w:r w:rsidR="00F32940" w:rsidRPr="001037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30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930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не проводяться тренінги  або навчання з безпеки життєдіяльності для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мешканців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1 тренінг та навчання з безпеки життєдіяльності на рік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проводиться 2-3 тренінги та навчання з безпеки життєдіяльності на рік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проводиться 4-5 тренінгів та навчань з безпеки життєдіяльності на рік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6-9 тренінгів та навчань з безпеки життєдіяльності на рік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регулярно проводиться 10 і більше тренінгів та навчань з безпеки життєдіяльності на рік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буль ласка, документальне підтвердження кількості проведених тренінгів або навчань з безпеки життєдіяльності для мешканців, що проводяться протягом року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Наявні договори/меморандуми з містами-побратимами (договори співпраці з іншим містом/містами).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EC33A3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EC33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 w:rsidRPr="00EC33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 </w:t>
            </w:r>
            <w:r w:rsidRPr="00EC33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таких договорів/меморандумів, а також документальне підтвердження їхньої наявності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забезпечено доступ до укриттів для осіб з порушеннями опорно-рухового апарату, зору, слуху. </w:t>
            </w:r>
            <w:r w:rsidR="00F32940" w:rsidRPr="001037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відсутні забезпечені належним доступом укриття для осіб з порушеннями опорно-рухового апарату, зору, слуху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E00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AE00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доступом менше 25% укриттів для осіб з порушеннями опорно-рухового апарату, зору, слуху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доступом понад 25% укриттів для осіб з порушеннями опорно-рухового апарату, зору, слуху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доступом понад 50% укриттів для осіб з порушеннями опорно-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рухового апарату, зору, слуху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забезпечено доступом понад 75% укриттів для осіб з порушеннями опорно-рухового апарату, зору, слуху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забезпечено доступом 100% укриттів для осіб з порушеннями опорно-рухового апарату, зору, слуху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Вкажіть, будь ласка, загальну кількість облаштованих укриттів та надайте документальне підтвердження облаштувань (фотозвіт)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розміщена інформація про евакуацію в доступних форматах (проста (спрощена) мова, шрифт Брайля, відео з перекладом жестовою мовою тощо).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BA5BB3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BA5B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 w:rsidRPr="00BA5B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прикладів такого розміщення інформації у Вашій громаді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Громаду забезпечено соціальним житлом або доступними для оренди квартирами різні суспільні групи мешканців (особи старшого віку, ВПО, особи з інвалідністю) відповідно до визначених потреб. </w:t>
            </w:r>
            <w:r w:rsidR="00F32940" w:rsidRPr="001037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5B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BA5B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не забезпечено соціального житла або доступних для оренди квартир для різних суспільних груп мешканців (особи старшого віку, ВПО, особи з інвалідністю) відповідно до визначених потреб </w:t>
            </w:r>
          </w:p>
        </w:tc>
      </w:tr>
      <w:tr w:rsidR="00FC2EB4" w:rsidRPr="00FC2EB4" w:rsidTr="00EF13A5">
        <w:trPr>
          <w:trHeight w:val="317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забезпечено менше 25% соціального житла або доступних для оренди квартир різні суспільні групи мешканців (особи старшого віку, ВПО, особи з інвалідністю) відповідно до визначених потреб 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забезпечено понад 25% соціального житла або доступних для оренди квартир різні суспільні групи мешканців (особи старшого віку, ВПО, особи з інвалідністю) відповідно до визначених потреб 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забезпечено понад 50% соціального житла або доступних для оренди квартир різні суспільні групи мешканців (особи старшого віку, ВПО, особи з інвалідністю) відповідно до визначених потреб 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забезпечено понад 75% соціального житла або доступних для оренди квартир різні суспільні групи населення (особи старшого віку, ВПО, особи з інвалідністю) відповідно до визначених потреб 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 у громаді забезпечено 100% соціального житла або доступних для оренди квартир різні суспільні групи населення (особи старшого віку, ВПО, особи з інвалідністю) відповідно до визначених потреб 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Вкажіть, будь ласка, точну кількість такого житла, яким забезпечено різні соціальні групи населення (особи старшого віку, ВПО, особи з інвалідністю) відповідно до визначених потреб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реалізуються програми підтримки різних суспільних груп населення (особи старшого віку, ВПО, особи з інвалідністю).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195BBE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195B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 w:rsidRPr="00195B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таких програм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5" w:history="1">
              <w:r w:rsidR="00BF0203" w:rsidRPr="00A0606F">
                <w:rPr>
                  <w:rStyle w:val="a8"/>
                  <w:rFonts w:ascii="Times New Roman" w:eastAsia="Times New Roman" w:hAnsi="Times New Roman" w:cs="Times New Roman"/>
                  <w:i/>
                  <w:sz w:val="24"/>
                  <w:szCs w:val="24"/>
                  <w:lang w:val="ru-RU"/>
                </w:rPr>
                <w:t>https://orativska-gromada.gov.ua/docs/1752762/</w:t>
              </w:r>
            </w:hyperlink>
            <w:r w:rsidR="00BF020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, </w:t>
            </w:r>
            <w:hyperlink r:id="rId16" w:history="1">
              <w:r w:rsidR="0057750B" w:rsidRPr="00A0606F">
                <w:rPr>
                  <w:rStyle w:val="a8"/>
                  <w:rFonts w:ascii="Times New Roman" w:eastAsia="Times New Roman" w:hAnsi="Times New Roman" w:cs="Times New Roman"/>
                  <w:i/>
                  <w:sz w:val="24"/>
                  <w:szCs w:val="24"/>
                  <w:lang w:val="ru-RU"/>
                </w:rPr>
                <w:t>https://orativska-gromada.gov.ua/docs/1752750/</w:t>
              </w:r>
            </w:hyperlink>
            <w:r w:rsidR="0057750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, </w:t>
            </w:r>
            <w:hyperlink r:id="rId17" w:history="1">
              <w:r w:rsidR="00BF0203" w:rsidRPr="00A0606F">
                <w:rPr>
                  <w:rStyle w:val="a8"/>
                  <w:rFonts w:ascii="Times New Roman" w:eastAsia="Times New Roman" w:hAnsi="Times New Roman" w:cs="Times New Roman"/>
                  <w:i/>
                  <w:sz w:val="24"/>
                  <w:szCs w:val="24"/>
                  <w:lang w:val="ru-RU"/>
                </w:rPr>
                <w:t>https://orativska-gromada.gov.ua/docs/1752777/</w:t>
              </w:r>
            </w:hyperlink>
            <w:r w:rsidR="00BF020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,</w:t>
            </w:r>
            <w:r w:rsidR="007A2104">
              <w:t xml:space="preserve"> </w:t>
            </w:r>
            <w:hyperlink r:id="rId18" w:history="1">
              <w:r w:rsidR="007A2104" w:rsidRPr="00A0606F">
                <w:rPr>
                  <w:rStyle w:val="a8"/>
                  <w:rFonts w:ascii="Times New Roman" w:eastAsia="Times New Roman" w:hAnsi="Times New Roman" w:cs="Times New Roman"/>
                  <w:i/>
                  <w:sz w:val="24"/>
                  <w:szCs w:val="24"/>
                  <w:lang w:val="ru-RU"/>
                </w:rPr>
                <w:t>https://orativska-gromada.gov.ua/docs/2462455/</w:t>
              </w:r>
            </w:hyperlink>
            <w:r w:rsidR="00BF020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програми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Населення громади охоплено послугами первинної медичної допомоги, включно з населенням віддалених районів громади. </w:t>
            </w:r>
            <w:r w:rsidR="00F32940" w:rsidRPr="001037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населення громади не охоплено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охоплено менше 25% населення громади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охоплено понад 25% населення громади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охоплено понад 50% населення громади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B62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9B62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охоплено понад 75% населення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 у громаді охоплено 100% населення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відсоткового коефіцієнта охоплення населення громади послугами первинної медичної допомоги, включно з населенням віддалених районів Вашої громади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 громаді наявні відповідні інституції, що забезпечують інтереси осіб з різними функціональними порушеннями (центри підтримки, центри життєстійкості тощо).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32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а) </w:t>
            </w:r>
            <w:r w:rsidR="00FC2EB4" w:rsidRPr="00E32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- у громаді відсутні відповідні інституції, що забезпечують інтереси осіб з різними функціональними порушеннями (центри підтримки, центри життєстійкості тощо)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послугами вищевказаних інституцій охоплено менше 25% населення громади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послугами вищевказаних інституцій охоплено понад 25% населення громади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послугами вищевказаних інституцій охоплено понад 50% населення громади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послугами вищевказаних інституцій охоплено понад 75% населення громади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послугами вищевказаних інституцій охоплено 100% населення громади 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наявних відповідних інституцій, що забезпечують інтереси осіб з різними функціональними порушеннями (центри підтримки, центри життєстійкості тощо)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рівень безпеки в різних районах міста є приблизно однаковим.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BA5BB3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BA5B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 w:rsidRPr="00BA5B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безпекової ситуації в різних районах міста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впроваджуються ініціативи сталого розвитку, які включено до стратегії громади.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643860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6438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 w:rsidRPr="006438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таких ініціатив, а також документальне підтвердження їхньої наявності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noWrap/>
            <w:hideMark/>
          </w:tcPr>
          <w:p w:rsidR="00FC2EB4" w:rsidRPr="001037D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1037D1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4. Освітня безбар'єрність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разі звернення батьків дитини з ООП або осіб, що їх замінюють, в громаді створюється інклюзивний клас.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 всі звернення ігноруються або залишаються без реагування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інклюзивні класи створюються в поодиноких випадках (менше 25% від поданих заяв)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 інклюзивні класи створюються в понад 25% випадків від поданих заяв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інклюзивні класи створюються в понад 50% випадків від поданих заяв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 інклюзивні класи створюються в понад 75% випадків від поданих заяв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04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1C04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 інклюзивні класи створюються в 100% випадків від поданих заяв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розрахунку відсотків випадків відкриття інклюзивних класів за заявами ибатьків або осіб, що їх замінюють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Здобувачі освіти та їхні батьки (особи, що їх замінюють) поінформовані про право на інклюзивне навчання в громаді.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– жодних інформаційних заходів  не проводиться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офіційна інформація відсутня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інформаційні заходи не охоплюють більшість здобувачів та їхніх батьків (менше 25%)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також можуть ьути випадки, коли реалізуються поодинокі заходи (наприклад, надсилається одне повідомлення на початку навчального року)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інформаційні заходи охоплюють понад 25% здобувачів освіти та їхніх батьків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заходи проводяться без системності (наприклад окрім повідомлень, також проводяться 1-2 очні зустрічі  або консультації в окремих класах протягом навчального року)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інформацію отримують більшість здобувачів освіти та їхніх батьків (понад 50%)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заходи реалізовуються, проте без охоплення всіх форм комунікації  (наприклад, 3-4 рази протягом навчального року проводяться особисті зустрічі, батьківські збори, вебінари) 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інфомацією охоплено майже всіх здобувачів освіти та їхніх батьків (понад 75%)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реалізовано системне інформування (наприклад, через сайти, адміністрацію та педпрацівників закладів освіти (в т.ч. через месенджери), працівників ІРЦ (у разі зверення))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04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1C04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широке охоплення аудиторії (100 %)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реалізовано системне інформування (наприклад, через різні канали, регулярне оновлення, доступні консультації для батьків, також отримується зворотний зв’язок від батьків)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розрахунку відсотків поінформованості здобувачів освіти та їхніх батьків (осіб, що їх замінюють) про право на інклюзивне навчання в громаді 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школи/садочки доступні для дітей з порушеннями опорно-рухового апарату. </w:t>
            </w:r>
            <w:r w:rsidR="00F32940" w:rsidRPr="001037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жоден заклад освіти не пристосований (відсутні пандуси, підйомники, широкі проходи)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окремі школи/садочки частково адаптовані, проте без системного підходу (менше 25%)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можливими є також випадки, при яких досить часто адаптації не відповідають вимогам або не підтримуються у справному стані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25% закладів освіти мають часткові адаптації, проте без системного підходу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можливими є також випадки, при яких алаптації не завжди відповідають вимогам або не підтримуються у справному стані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50% закладів освіти доступні для дітей з порушеннями ОРА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можливими є також випадки при яких можуть бути недоопрацьовані окремі елементи або незручна організація простору 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04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1C04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закладів адаптовано комплексно (пандуси, підйомники, широкі проходи, доступні санвузли, наявна певна організація простору)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всі адаптації справні, ремонт та оновлення відбувається без затримок 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100% закладів забезпечено відповідною інфраструктурою, простір закладу логічно зоновано з урахуванням принципів універсального дизайну та розумного пристосування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при ремонтах і реконструкціях враховуються потреби всіх дітей з ООП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розрахунку відсотків доступності шкіл/садочів для дітей з порушеннями опорно-рухового апарату 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закладах освіти громади наявне кадрове забезпечення для навчання дітей з ООП. </w:t>
            </w:r>
            <w:r w:rsidR="00F32940" w:rsidRPr="001037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кадрове забезпечення  для реалізації інклюзивного навчання відсутнє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заклади освіти забезпечені необхідними кадрами на рівні 25%  (наприклад, лище в окремих випадках призначено асистента дитини)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заклади освіти частково забезпечені кадрами (понад 25%) (напрклад, спостерігається нестача асистентів вчителя та дитини, велика плинність кадрів)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заклади освіти забезпечені кадрами на рівні понад 50% (напрклад, системна робота ведеться, але потребує розширення: не всі діти з ООП забезпечені супроводом)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кадрове забезпечення підтримується на рівні понад 75% (педагоги проходять навчання, є підтримка ІРЦ,  висока кадрова стабільність)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52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E152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 заклади на 100% кадрово забезпечений (напркилад, у громаді функціонує налагоджена модель кадрового супроводу, що включає асистентів, фахівців ІРЦ, системне навчання та заохочення педагогів)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розрахунку відсотків кадрового забезпечення для навчання дітей з ООП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закладах освіти громади забезпечено дистанційну форму здобуття освіти. </w:t>
            </w:r>
            <w:r w:rsidR="00F32940" w:rsidRPr="001037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відсутній будь-який доступ до дистанційного навчання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також можливим є варіант, коли в закладах освіти відсутня технічна та/або організаційна можливість організації дистанційного навчання 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дистанційна освіта доступна лише вибірково (менше 25% учнів громади)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також можливим є варіант, коли відсутня технічна підтримка з боку закладу освіти 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25% здобувачів мають можливість навчатися дистанційно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частково враховано потреби окремих груп, але відсутня універсальність рішень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50% учнів мають стабільний доступ до дистанційної форми освіти.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більшість педагогів забезпечують регулярну взаємодію, проте є технічні або організаційні прогалини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52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E152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дистанційна освіта доступна переважно всім здобувачам освіти (понад 75%)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при організації дистанційного навчання враховано потреби дітей з ООП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дистанційна освіта доступна всім учням без виключення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забезпечено цифрову доступність, технічну підтримку, адаптацію матеріалів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E15243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розрахунку відсотків забезпечення дистанційною освітою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E1524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очна форма навчання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відсутні випадки неохоплення загальною середньою освітою дітей шкільного віку.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випадки наявні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BB5500" w:rsidRDefault="00402B0B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BB55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б) </w:t>
            </w:r>
            <w:r w:rsidR="00FC2EB4" w:rsidRPr="00BB55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випадки відсутні </w:t>
            </w:r>
            <w:r w:rsidR="00D977A6" w:rsidRPr="00BB55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D977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866B2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відсутності випадків неохоплення загальною середньою освітою дітей шкільного віку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69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вживаються заходи у випадку неохоплення загальною середньою освітою дітей шкільного віку. </w:t>
            </w:r>
            <w:r w:rsidR="00F32940" w:rsidRPr="001037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діти, не охоплені шкільним начанням, не повертаються до навчання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жодних заходів не вживається або заходи виявляюються неефективними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менше 25% дітей, не охоплених шкільним начанням, повертаються до навчання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заходи проводяться рідко, без системності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25% не охоплених шкільним начанням, повертаються до навчання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заходи вживаються фрагментарно, проте без системності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50% не охоплених шкільним начанням, повертаються до навчання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заходи вживаються, проте можуть бути затримки чи прогалини в координації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75% не охоплених шкільним начанням,  повертаються до навчання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 наявний чіткий алгоритм реагування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B55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BB55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вживаються своєчасні та ефективні заходи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100% дітей, не охоплених шкільним навчанням, після вжиття заходів повертаються до навчання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розрахунку відсотків поверення до навчання дітей, не охоплених шкільним начанням, за результатами вжитих заходів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наявні програми неформальної освіти, доступні всім охочим.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BB5500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BB55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 w:rsidRPr="00BB55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90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наявності програм неформальної освіти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D977A6" w:rsidTr="00D977A6">
        <w:trPr>
          <w:trHeight w:val="300"/>
        </w:trPr>
        <w:tc>
          <w:tcPr>
            <w:tcW w:w="704" w:type="dxa"/>
            <w:noWrap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5. Суспільна безбар’єрність 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не толеруються прояви дискримінації та діють ініціативи задля попередження дискримінації. </w:t>
            </w:r>
            <w:r w:rsidR="00F32940" w:rsidRPr="001037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відсутні будь-які ініціативи, програми чи заходи щодо протидії дискримінації на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також можуть бути ситуації, коли зафіксовано випадки дискримінації, на які відсутнє реагування 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протягом року в громаді реалізовано не більше 1 ініціативи, програми чи заходу з протидії дискримінації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відсутній інтерес або ініціатива з боку ОМС чи громади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реагування на випадки дискримінації є вибірковим або несвоєчасним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протягом року в громаді проведено 2-3 ініціативи, програми чи заходи з протидії дискримінації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також можуть бути випадки, коли ініціативи реалізовуються переважно НУО  без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підтримки місцевої влади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реагування на випадки дискримінації відбувається, проте воно несистемне</w:t>
            </w:r>
          </w:p>
        </w:tc>
      </w:tr>
      <w:tr w:rsidR="00FC2EB4" w:rsidRPr="00FC2EB4" w:rsidTr="00402B0B">
        <w:trPr>
          <w:trHeight w:val="742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протягом року реалізовано 4-5 ініціатив, програм чи заходиів з протидії дискримінації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як правило, під час реалізації ініціатив організовано взаємодію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ОМС з громадськими організаціями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 громаді розроблено систему реагування на прояви дискримінації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22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8F22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реалізується щонайменше 6–9  ініціатив, програм чи заходів з протидії дискримінації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місцева влада є активним учасником або ініціатором заходів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в громаді розроблено систему реагування на прояви дискримінації та її попередження 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 громаді діє понад 10 ініціатив, програм чи заходів з протидії дискримінації на рік, що охоплюють різні аудиторії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місцева влада є активним учасником або ініціатором заходів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функціонує комплексна система регування на випалки дискримінації та протидії їй ( втому числі підтримка постраждалих)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кількості проведених ініціатив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9" w:history="1">
              <w:r w:rsidR="008F225F" w:rsidRPr="00A0606F">
                <w:rPr>
                  <w:rStyle w:val="a8"/>
                  <w:rFonts w:ascii="Times New Roman" w:eastAsia="Times New Roman" w:hAnsi="Times New Roman" w:cs="Times New Roman"/>
                  <w:i/>
                  <w:sz w:val="24"/>
                  <w:szCs w:val="24"/>
                  <w:lang w:val="ru-RU"/>
                </w:rPr>
                <w:t>https://orativska-gromada.gov.ua/zapobigannya-ta-protidiya-domashnomu-nasilstvu-14-47-19-24-01-2023/</w:t>
              </w:r>
            </w:hyperlink>
            <w:r w:rsidR="0055784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, </w:t>
            </w:r>
            <w:hyperlink r:id="rId20" w:history="1">
              <w:r w:rsidR="00871852" w:rsidRPr="00A0606F">
                <w:rPr>
                  <w:rStyle w:val="a8"/>
                  <w:rFonts w:ascii="Times New Roman" w:eastAsia="Times New Roman" w:hAnsi="Times New Roman" w:cs="Times New Roman"/>
                  <w:i/>
                  <w:sz w:val="24"/>
                  <w:szCs w:val="24"/>
                  <w:lang w:val="ru-RU"/>
                </w:rPr>
                <w:t>https://school.orativosvita.gov.ua/news/22-28-52-04-05-2026/</w:t>
              </w:r>
            </w:hyperlink>
            <w:r w:rsidR="0087185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, </w:t>
            </w:r>
            <w:hyperlink r:id="rId21" w:history="1">
              <w:r w:rsidR="004D6398" w:rsidRPr="00A0606F">
                <w:rPr>
                  <w:rStyle w:val="a8"/>
                  <w:rFonts w:ascii="Times New Roman" w:eastAsia="Times New Roman" w:hAnsi="Times New Roman" w:cs="Times New Roman"/>
                  <w:i/>
                  <w:sz w:val="24"/>
                  <w:szCs w:val="24"/>
                  <w:lang w:val="ru-RU"/>
                </w:rPr>
                <w:t>https://school.orativosvita.gov.ua/news/22-32-11-04-05-2026/</w:t>
              </w:r>
            </w:hyperlink>
            <w:r w:rsidR="004D639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, </w:t>
            </w:r>
            <w:hyperlink r:id="rId22" w:history="1">
              <w:r w:rsidR="003A57E5" w:rsidRPr="00A0606F">
                <w:rPr>
                  <w:rStyle w:val="a8"/>
                  <w:rFonts w:ascii="Times New Roman" w:eastAsia="Times New Roman" w:hAnsi="Times New Roman" w:cs="Times New Roman"/>
                  <w:i/>
                  <w:sz w:val="24"/>
                  <w:szCs w:val="24"/>
                  <w:lang w:val="ru-RU"/>
                </w:rPr>
                <w:t>https://skomoroschky.orativosvita.gov.ua/news/13-45-55-03-03-2026/</w:t>
              </w:r>
            </w:hyperlink>
            <w:r w:rsidR="003A57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23" w:history="1">
              <w:r w:rsidR="00C83BEA" w:rsidRPr="00A0606F">
                <w:rPr>
                  <w:rStyle w:val="a8"/>
                  <w:rFonts w:ascii="Times New Roman" w:eastAsia="Times New Roman" w:hAnsi="Times New Roman" w:cs="Times New Roman"/>
                  <w:i/>
                  <w:sz w:val="24"/>
                  <w:szCs w:val="24"/>
                  <w:lang w:val="ru-RU"/>
                </w:rPr>
                <w:t>https://skomoroschky.orativosvita.gov.ua/news/12-38-28-07-05-2026/</w:t>
              </w:r>
            </w:hyperlink>
            <w:r w:rsidR="00C83BE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1037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Працівники органів місцевого самоврядування громади пройшли навчання на тему безбар’єрності та інклюзії. </w:t>
            </w:r>
            <w:r w:rsidR="00F32940" w:rsidRPr="001037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працівники ОМС не проходили відповідне навчання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навчання не проводилося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менше 25% працівників пройшли навчання за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навчання епізодичне, без системного охоплення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результати навчання точково інтегруються в роботу ОМС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25% працівників пройшли навчання за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навчання організовано з базових питань інклюзії та проводиться щороку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– результати навчання поступово інтегруються в роботу ОМС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E1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3E1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50% працівників пройшли навчання за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є плановість у провденні щорічних начань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тематика безбар’єрності інтегрована у роботу ОМС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E1E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3E1E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75% працівників пройшли навчання за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є плановість та системність у провденні щорічних начань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тематика безбар’єрності інтегрована у роботу ОМС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100% працівників пройшли навчання за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навчання є обов’язковим елементом щорічного підвищення кваліфікації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тематика безбар’єрності інтегрована у роботу ОМС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розрахунку відсотків працівників, що пройшли відповідне навчання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проводяться заходи на теми прав людини і рівних можливостей. </w:t>
            </w:r>
            <w:r w:rsidR="00F32940" w:rsidRPr="001037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 громаді не проводяться заходи на теми прав людини і рівних можливостей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також можливі випадку, коли відсутній інтерес або ініціатива з боку ОМС чи громади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проведено не більше 1 заходу на рік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відсутній інтерес або ініціатива з боку ОМС чи громади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проведено 2–3 заходи на рік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також можливі випадки, коли ініціативи реалізовуються переважно за підтримки НУО, без активної участі ОМС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протягом року реалізовано 4–5 заходів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частково залучені різні групи населення та представники ОМС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410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7410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Вище середнього рівня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організовано 6–9 подій на рік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правилои, заходи реалізуються за активної участі ОМС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щорічно проводиться понад 10 тематичних заходів з прав людини і рівних можливостей– місцева влада є активним учасником або ініціатором заходів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охоплено різні аудиторії: молодь, освітяни, працівники ОМС, жінки, люди з інвалідністю тощо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тема є інтегрованою у культурні, освітні та інформаційні політики громади</w:t>
            </w:r>
          </w:p>
        </w:tc>
      </w:tr>
      <w:tr w:rsidR="00FC2EB4" w:rsidRPr="00FC2EB4" w:rsidTr="00D977A6">
        <w:trPr>
          <w:trHeight w:val="690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кількості проведених заходів 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проводяться заходи та культурні події, важливі для різних суспільних груп населення. </w:t>
            </w:r>
            <w:r w:rsidR="00F32940" w:rsidRPr="001037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жодні заходи та культурні події, важливі для різних суспільних груп населення громади, протягом року не проводилися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протягом року проводиться не більше 1-го заходу та культурної події, важливої для різних груп населення громади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також можуть бути випалки, коли доступність або інклюзивність такого заходу та події є недостатньою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протягом року проводиться 2–3 заходи та культурні події на рік орієнтовані на потреби різних суспільних груп населення громади (наприклад, людей старшого віку або дітей)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також можуть бути випадки, коли доступність або інклюзивність таких заходів та подій є недостатньою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протягом року проводиться 4–5 заходів чи культурних подій, важливих для різних суспільних груп населення громади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події перважно враховують потреби відвідувачів у доступності та безбар’єрності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73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D73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Рівень вище середнього</w:t>
            </w:r>
            <w:r w:rsidR="00FC2EB4" w:rsidRPr="005340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 w:rsidRPr="005340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протягом року проводиться 6–9 заходів чи культурних подій щороку, важливих для різних суспільних груп населення громади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події адаптовано до потреб маломобільних осіб, сімей з дітьми, ветеранів, молоді тощо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73A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D73A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протягом року продиться понад 10 заходів та культурних подій щорічно, важливих для різних суспільних груп населення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події адаптовано до потреб маломобільних осіб, сімей з дітьми, ветеранів, молоді тощо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кількості проведених заходів та культурних подій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24" w:history="1">
              <w:r w:rsidR="007F70F2" w:rsidRPr="00A0606F">
                <w:rPr>
                  <w:rStyle w:val="a8"/>
                  <w:rFonts w:ascii="Times New Roman" w:eastAsia="Times New Roman" w:hAnsi="Times New Roman" w:cs="Times New Roman"/>
                  <w:i/>
                  <w:sz w:val="24"/>
                  <w:szCs w:val="24"/>
                  <w:lang w:val="ru-RU"/>
                </w:rPr>
                <w:t>https://www.facebook.com/p/%D0%9A%D1%83%D0%BB%D1%8C%D1%82%D1%83%D1%80%D0%BD%D0%B0-%D0%9E%D1%80%D0%B0%D1%82%D1%96%D0%B2%D1%89%D0%B8%D0%BD%D0%B0-100091787494783/?locale=uk_UA</w:t>
              </w:r>
            </w:hyperlink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забезпечено місця для вільного зібрання мешканців  (зокрема соціальні клуби, паркові зони, коворкінги, центри громадської участі, ветеранські хаби, бібліотеки тощо).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місця для зібрань майже відсутні або існують формально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менше 10% на кожні 10 тис. наслення громади має доступ до таких просторів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 не забезпечена достпність таких просторів 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менше 25% на кожні 10 тис. населення громади має доступ до місць для вільного зібрання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наявні лише поодинокі об’єкти, які не охоплюють основні групи населення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забезпечена часткова достпність таких просторів 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25% на кожні 10 тис. мешканців громади мають доступ до таких місць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інфраструктура фрагментарна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прааивло, деякі простори не відповідають базовим умовам доступності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340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5340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50%  на кожні 10 тис. мешканців громади  мають доступ до місць для зібрань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можуть бути випадки, коли протори не рівномірно розподілені між населеними пунктами громади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наявна базова доступність 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Рівень вище середнього 4 бали)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на кожні 10 тис. мешканців громади  мають доступ до місць для зібрань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є різноманітні формати локацій (від бібліотек до відкритих просторів), адаптовані під різні групи населення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забезпечено комплексну доступність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100%  на кожні 10 тис. мешканців громади мають доступ до зручних місць для зібрань у межах пішої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мережа просторів різноманітна, охоплює інтереси й потреби різних вікових, соціальних і суспільних груп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простори активно використовуються, підтримуються, забезпечені комплексними умовами доступності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розрахунку відсотків забезпечення населення громади (на кожні 10 000) місць для вільного зібрання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25" w:history="1">
              <w:r w:rsidR="00445805" w:rsidRPr="00A0606F">
                <w:rPr>
                  <w:rStyle w:val="a8"/>
                  <w:rFonts w:ascii="Times New Roman" w:eastAsia="Times New Roman" w:hAnsi="Times New Roman" w:cs="Times New Roman"/>
                  <w:i/>
                  <w:sz w:val="24"/>
                  <w:szCs w:val="24"/>
                  <w:lang w:val="ru-RU"/>
                </w:rPr>
                <w:t>https://orativska-gromada.gov.ua/news/1788329234/</w:t>
              </w:r>
            </w:hyperlink>
            <w:r w:rsidR="0044580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наявні ініціативи, що підтримують міжпоколіннєвий або міжкультурний діалог та обмін досвідом.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 громаді не проводяться заходи чи ініціативи, спрямовані на діалог між поколіннями або культурами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відсутні можливості для взаємодії людей різного віку, походження чи досвіду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реалізовано не більше 1 ініціативи на рік, що об’єднують молодь та людей старшого віку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не залучено більше однієї групи (наприклад, лише молодь)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2-3 ініціативи щороку, що об’єднують молодь та людей старшого віку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залучено декілька груп (наприклад, молодь та особи старшого віку)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4–5 ініціатив щороку, що об’єднують молодь та людей старшого віку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залучено декілька груп (наприклад, молодь та особи старшого віку)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340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5340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6–9 регулярних ініціатив у партнерстві з ОМС або за її підтримки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відбувається взаємодія між поколіннями, мешканцями з різними походженням, культурою тощо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реалізується понад 10 ініціатив або програм щорічно, що охоплюють міжпоколіннєвий та міжкультурний обмін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міжпоколіннєвий або міжкультурний діалог та обмін досвідом є інтегрованим елементом освітніх, культурних та соціальних стратегій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кількості наявних ініціатив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26" w:history="1">
              <w:r w:rsidR="00F736B5" w:rsidRPr="00A0606F">
                <w:rPr>
                  <w:rStyle w:val="a8"/>
                  <w:rFonts w:ascii="Times New Roman" w:eastAsia="Times New Roman" w:hAnsi="Times New Roman" w:cs="Times New Roman"/>
                  <w:i/>
                  <w:sz w:val="24"/>
                  <w:szCs w:val="24"/>
                  <w:lang w:val="ru-RU"/>
                </w:rPr>
                <w:t>https://orativska-gromada.gov.ua/news/1751270327/</w:t>
              </w:r>
            </w:hyperlink>
            <w:r w:rsidR="00F736B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D977A6" w:rsidTr="00D977A6">
        <w:trPr>
          <w:trHeight w:val="330"/>
        </w:trPr>
        <w:tc>
          <w:tcPr>
            <w:tcW w:w="704" w:type="dxa"/>
            <w:noWrap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6. Інклюзивні послуги та сервіси 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наявна можливість запису на прийом щодо отримання необхідних послуг онлайн або з використанням спеціальних додатків у смартфонах, що допомагає уникнути складних процедур запису для осіб з інвалідністю та інших суспільних груп населення.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0D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8F0D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онлайн-запис повністю відсутній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онлайн-запис доступний для менше, ніж 25% основних послуг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онлайн-запис доступний для понад 25 % послуг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можуть бути випадки, коли сервіс працює нестабільно або незручно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онлайн-запис доступний для понад 50% послуг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сервіси працюють та передбачено базову зручність для різних суспільних груп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онлайн-запис доступний для понад 75% послуг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правило,ервіси працюють та їхгій інтерфейс враховує потреби осіб з інвалідністю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100% послуг мають онлайн-запис або запис через додатки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сервіси є доступними, зручними, адаптованими для різних суспільних груп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розрахунку відсотків послуг, для яких доступним є запис онлайн або з використанням спеціальних додатків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інформація про сервіси/послуги/події дублюється шрифтом Брайля, жестовою мовою, простою (спрощеною) мовою та доступна в онлайн форматі.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0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8F0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 забезпечено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інформація не дублюється жодним альтернативним способом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0D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8F0D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альтернативне дублювання охоплює менше 25% ключової інформації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реалізується несистемно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0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8F0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дублювання альтернативним способом здійснюється для понад 25% інформації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присутні лише окремі формати (наприклад, онлайн або жестова мова)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 понад 50% інформації дублюється альтернативним способом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праивло, використовуються щонайменше два альтернативні формати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інформації дублюється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інформація доступна для різних груп (з порушеннями зору, слуху, когнітивними порушеннями)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100% інформації дублюється у доступних форматах: Брайль, жестова мова, проста (спрощена) мова, онлайн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використовується багатоканальне інформування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підтвердження розрахунку відсотків сервісів/послуг/подій, про які інформація дублюється шрифтом Брайля, жестовою мовою, спрощеною мовою або онлайн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інформація про послуги є доступною в зручних форматах.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ні, інформацію про жодну послугу не можна отримати у зручному форматі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613FD" w:rsidRDefault="00402B0B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613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613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так, інформацію про окремі послуги можна отримати у зручному форматі </w:t>
            </w:r>
            <w:r w:rsidR="00D977A6" w:rsidRPr="00F613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 те, що у громаді інформація про послуги регулярно оновлюється і є доступною в зручних форматах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послуги надаються дистанційно (телефоном, онлайн), якщо це необхідно.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8F0DCF" w:rsidRDefault="00402B0B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8F0D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8F0D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ні, відсутня можливість отримати жодну послугу дистанційно </w:t>
            </w:r>
            <w:r w:rsidR="00D977A6" w:rsidRPr="008F0D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8F0DCF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0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8F0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так, є можливість отримати окремі види послуг дистанційно </w:t>
            </w:r>
            <w:r w:rsidR="00D977A6" w:rsidRPr="008F0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 те, що у громаді послуги надаються також дистанційно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надається послуга перекладача жестової мови або супроводу за запитом.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613FD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F613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 w:rsidRPr="00F613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 те, що у громаді надається послуга перекладача жестової мови або супроводу за запитом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наявна можливість отримати супровід або допомогу при оформленні документів.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613FD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F613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 w:rsidRPr="00F613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 те, що у громаді наявна можливість отримати супровід або допомогу при оформленні документів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віддалених районах громади надається мобільна допомога/виїзні бригади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медичних або соціальних працівників. </w:t>
            </w:r>
            <w:r w:rsidR="00F32940" w:rsidRPr="001037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D977A6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мобільна допомога або виїзні бригади взагалі не функціонують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можливі випадки, коли відсутня реакція на виклики або виклики ігноруються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виїзди здійснюються рідко: менше ніж 1 раз на місяць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можливі випадки, коли виклики часто залишаються без реагування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виїзди здійснюються не рідше 1 раз на місяць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можливі випадки, коли бригади не завжди доїжджають до всіх заявлених локацій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виїзди здійснюються не рідше 1 разу на 2 тижні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можливі випадки, коли бригади доїзжджають із затримками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0D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8F0D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бригади здійснюють виїзди щотижня або частіше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є чіткий графік виїздів та можливість реагування на екстрені запити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доступності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виїзди відбуваються регулярно та за потреби, включаючи екстрені виклики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забезпечено оперативне реагування протягом 24 годин після звернення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 кількість виїздів та оперативність реагування мобільної допомоги/виїзних бригад медичних або соціальних працівників у віддалених районах громади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noWrap/>
            <w:hideMark/>
          </w:tcPr>
          <w:p w:rsidR="00FC2EB4" w:rsidRPr="001037D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1037D1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7. Цифрова безбар'єрність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Громада має сайт або онлайн-портал, доступний для людей з порушенням зору/слуху.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45736B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457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 w:rsidRPr="00457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посилання на такий </w:t>
            </w:r>
            <w:r w:rsid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веб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сайт або онлайн-портал у Вашій громаді</w:t>
            </w:r>
            <w:r w:rsidR="00457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27" w:history="1">
              <w:r w:rsidR="0045736B" w:rsidRPr="00A0606F">
                <w:rPr>
                  <w:rStyle w:val="a8"/>
                  <w:rFonts w:ascii="Times New Roman" w:eastAsia="Times New Roman" w:hAnsi="Times New Roman" w:cs="Times New Roman"/>
                  <w:i/>
                  <w:sz w:val="24"/>
                  <w:szCs w:val="24"/>
                  <w:lang w:val="ru-RU"/>
                </w:rPr>
                <w:t>https://orativska-gromada.gov.ua/</w:t>
              </w:r>
            </w:hyperlink>
            <w:r w:rsidR="00457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можна оформити необхідні документи онлайн без необхідності відвідування адміністративних будівель особисто.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8F0DCF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8F0D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 w:rsidRPr="008F0D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8F0DCF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F0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 w:rsidRPr="008F0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такий онлайн-ресурс або документальне підтвердження такого функціоналу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28" w:history="1">
              <w:r w:rsidR="00DB226F" w:rsidRPr="00A0606F">
                <w:rPr>
                  <w:rStyle w:val="a8"/>
                  <w:rFonts w:ascii="Times New Roman" w:eastAsia="Times New Roman" w:hAnsi="Times New Roman" w:cs="Times New Roman"/>
                  <w:i/>
                  <w:sz w:val="24"/>
                  <w:szCs w:val="24"/>
                  <w:lang w:val="ru-RU"/>
                </w:rPr>
                <w:t>https://orativska-gromada.gov.ua/feedback/</w:t>
              </w:r>
            </w:hyperlink>
            <w:r w:rsidR="00FD639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, </w:t>
            </w:r>
            <w:hyperlink r:id="rId29" w:history="1">
              <w:r w:rsidR="00D32633" w:rsidRPr="00A0606F">
                <w:rPr>
                  <w:rStyle w:val="a8"/>
                  <w:rFonts w:ascii="Times New Roman" w:eastAsia="Times New Roman" w:hAnsi="Times New Roman" w:cs="Times New Roman"/>
                  <w:i/>
                  <w:sz w:val="24"/>
                  <w:szCs w:val="24"/>
                  <w:lang w:val="ru-RU"/>
                </w:rPr>
                <w:t>https://orativska-gromada.gov.ua/grafik-roboti-centru-nadannya-administrativnih-roslug-orativskoi-selischnoi-radi-10-54-11-24-02-2021/</w:t>
              </w:r>
            </w:hyperlink>
            <w:r w:rsidR="00D3263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створено мобільний додаток для інформування щодо забезпечення потреб громади, а також забезпечено його адаптацію для різних суспільних груп населення.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8F0DCF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8F0D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 w:rsidRPr="008F0D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такий додаток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для різних сусіпльних груп забезпечено безбар’єрний доступ до електронних публічних послуг.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3B1C7A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3B1C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 w:rsidRPr="003B1C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онлайн ресурс з безбар’єрним доступом до електронних публічних послуг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аді для різних сусіпльних груп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забезпечено безбар’єрний доступ до публічної інформації органів владних повноважень.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3B1C7A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3B1C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 w:rsidRPr="003B1C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онлайн-ресурс з безбар’єрним доступом до публічної інформації органів владних повноважень Вашої громади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аді для різних сусіпльних груп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забезпечено безбар’єрний доступ до аудіовізуальних та друкованих медіа.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3B1C7A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3B1C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 w:rsidRPr="003B1C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онлайн-ресурс або ж документальне підтвердження безбар’єрного доступу до аудіовізуальних та друкованих медіа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69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для різних сусіпльних груп забезпечено безбар’єрний доступ до швидкісного інтернету. </w:t>
            </w:r>
            <w:r w:rsidR="00F32940" w:rsidRPr="001037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відсутнє забезпечення безбар’єрним доступом до швидкісного інтернету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безбар'єрним доступом до швидкісного інтернету менше 25% мешканців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безбар'єрним доступом до швидкісного інтернету понад 25% мешканців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B1C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3B1C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безбар'єрним доступом до швидкісного інтернету понад 50% мешканців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B1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3B1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безбар'єрним доступом до швидкісного інтернету понад 75% мешканців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забезпечено безбар'єрним доступом до швидкісного інтернету 100% мешканців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підтвердження забезпечення безбар’єрного доступу до швидкісного інтернету різних суспільних груп Вашої громади 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для різних суспільних груп забезпечено безбар’єрний доступ до отримання цифрових знань та навичок. </w:t>
            </w:r>
            <w:r w:rsidR="00F32940" w:rsidRPr="001037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B1C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3B1C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відсутнє забезпечення безбар’єрним доступом до отримання цифрових знань та навичок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безбар’єрним доступом до отримання цифрових знань та навичок менше 25% мешканців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безбар’єрним доступом до отримання цифрових знань та навичок понад 25% мешканців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безбар’єрним доступом до отримання цифрових знань та навичок понад 50% мешканців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безбар’єрним доступом до отримання цифрових знань та навичок понад 75% мешканців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забезпечено безбар’єрним доступом до отримання цифрових знань та навичок 100%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мешканців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 документальне підтвердження забезпечення мешканців Вашої громади безбар’єрним доступом до отримання цифрових знань та навичок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проводяться заходи із підвищення цифрової грамотності різних суспільних груп мешканців (протягом року). </w:t>
            </w:r>
            <w:r w:rsidR="00F32940" w:rsidRPr="001037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B1C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3B1C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не проводяться заходи із підвищення цифрової грамотності для мешканців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1 захід із підвищення цифрової грамотності для мешканці на рік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2-3 заходи із підвищення цифрової грамотності для мешканці на рік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4-5 заходів із підвищення цифрової грамотності для мешканці на рік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6-9 заходів із підвищення цифрової грамотності для мешканці на рік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регулярно проводиться 10 і більше заходів із підвищення цифрової грамотності для мешканці на рік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Надайте,будь ласка, документальне підтвердження проведених заходів із підвищення цифрової грамотності для мешканців Вашої громади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noWrap/>
            <w:hideMark/>
          </w:tcPr>
          <w:p w:rsidR="00FC2EB4" w:rsidRPr="001037D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1037D1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8. Економічна безбар'єрність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враховуються потреби осіб з інвалідністю при працевлаштуванні у структурах органів місцевого самоврядування.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3B1C7A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3B1C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 w:rsidRPr="003B1C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підтвердження того, як враховуються потреби осіб з інвалідністю при працевлаштуванні у структурах органів місцевого 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lastRenderedPageBreak/>
              <w:t>самоврядування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 (посилання на звіт)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діють програми допомоги у працевлаштуванні осіб з інвалідністю.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3B1C7A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3B1C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 w:rsidRPr="003B1C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A67F9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таких програм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 (посилання на програми)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 наявні програми підтримки місцевого бізнесу або самозайнятості, зокрема для підтримки різних суспільних груп громади (особи старшого віку, ВПО, особи з інвалідністю). 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910D73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910D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ні </w:t>
            </w:r>
            <w:r w:rsidR="00A67F90" w:rsidRPr="00910D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A67F9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таких програм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 (посилання на програми)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межах громади або поблизу забезпечено наявність філії чинної служби зайнятості.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910D73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910D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 w:rsidRPr="00910D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910D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011370" w:rsidRDefault="00FC2EB4" w:rsidP="00441CD9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</w:t>
            </w:r>
            <w:r w:rsidRPr="000113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, 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будь</w:t>
            </w:r>
            <w:r w:rsidRPr="000113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ласка</w:t>
            </w:r>
            <w:r w:rsidRPr="000113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, 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документальне</w:t>
            </w:r>
            <w:r w:rsidRPr="000113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підтвердження</w:t>
            </w:r>
            <w:r w:rsidRPr="000113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наявності</w:t>
            </w:r>
            <w:r w:rsidRPr="000113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філії</w:t>
            </w:r>
            <w:r w:rsidRPr="000113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чинної</w:t>
            </w:r>
            <w:r w:rsidRPr="000113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служби</w:t>
            </w:r>
            <w:r w:rsidRPr="000113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зайнятості</w:t>
            </w:r>
            <w:r w:rsidRPr="000113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у</w:t>
            </w:r>
            <w:r w:rsidRPr="000113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Вашій</w:t>
            </w:r>
            <w:r w:rsidRPr="000113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громаді</w:t>
            </w:r>
            <w:r w:rsidR="00A67F90" w:rsidRPr="000113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011370" w:rsidRPr="00441CD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>наявне</w:t>
            </w:r>
            <w:r w:rsidR="00011370" w:rsidRPr="00441CD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  <w:r w:rsidR="00011370" w:rsidRPr="00441CD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>відділене</w:t>
            </w:r>
            <w:r w:rsidR="00011370" w:rsidRPr="00441CD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  <w:r w:rsidR="00011370" w:rsidRPr="00441CD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>робоче</w:t>
            </w:r>
            <w:r w:rsidR="00011370" w:rsidRPr="00441CD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  <w:r w:rsidR="00011370" w:rsidRPr="00441CD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>місце</w:t>
            </w:r>
            <w:r w:rsidR="00441CD9" w:rsidRPr="00441CD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en-US"/>
              </w:rPr>
              <w:t xml:space="preserve">: </w:t>
            </w:r>
            <w:r w:rsidR="00441CD9" w:rsidRPr="00441CD9">
              <w:rPr>
                <w:rFonts w:ascii="Times New Roman" w:hAnsi="Times New Roman" w:cs="Times New Roman"/>
                <w:b/>
                <w:i/>
                <w:u w:val="single"/>
              </w:rPr>
              <w:t>с-ще Оратів</w:t>
            </w:r>
            <w:r w:rsidR="00441CD9" w:rsidRPr="00441CD9">
              <w:rPr>
                <w:rFonts w:ascii="Times New Roman" w:hAnsi="Times New Roman" w:cs="Times New Roman"/>
                <w:i/>
                <w:u w:val="single"/>
              </w:rPr>
              <w:t xml:space="preserve">, </w:t>
            </w:r>
            <w:r w:rsidR="00441CD9" w:rsidRPr="00441CD9">
              <w:rPr>
                <w:rStyle w:val="a9"/>
                <w:rFonts w:ascii="Times New Roman" w:hAnsi="Times New Roman" w:cs="Times New Roman"/>
                <w:bCs w:val="0"/>
                <w:i/>
                <w:u w:val="single"/>
              </w:rPr>
              <w:t>вул. Героїв Майдану, 76-А</w:t>
            </w:r>
            <w:r w:rsidR="00011370" w:rsidRPr="00441CD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  <w:r w:rsidR="00A67F90" w:rsidRPr="000113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(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A67F90" w:rsidRPr="000113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забезпечено проведення відповідних освітніх заходів (курсів/тренінгів/навчальних програм підвищення кваліфікації, перекваліфікації, покращення навичок тощо) забезпечених доступністю для різних суспільних груп населення громади щорічно.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A67F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не проводяться вищевказані освітні заходи забезпечені доступністю для різних суспільних груп населення громади щорічно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A67F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1 вищевказаний освітній захід забезпечений доступністю для різних суспільних груп населення громади на рік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93F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593F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Рівень 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2-3 вищевказані освітні заходи забезпечені доступністю для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різних суспільних груп населення громади на рік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4-5 вищевказаних освітніх заходів забезпечених доступністю для різних суспільних груп населення громади на рік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6-9 вищевказаних освітніх заходів забезпечених доступністю для різних суспільних груп населення громади на рік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регулярно проводиться більше 10 вищевказаних освітніх заходів забезпечених доступністю для різних суспільних груп населення громади на рік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підтвердження кількості проведених заходів 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 (посилання)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A67F9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забезпечено доступ та інформування щодо наявних програм отримання грантів/субсидій для працевлаштування різних суспільних груп населення (особи старшого віку, ВПО, особи з інвалідністю). 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597611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5976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 w:rsidRPr="005976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5976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D977A6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Надайте, будь ласка, документальне підтвердження забезпеченого доступу та інформування щодо наявних програм отримання грантів/субсидій для працевлаштування різних суспільних груп Вашої громади (особи старшого віку, ВПО, особи з інвалідністю) </w:t>
            </w:r>
            <w:hyperlink r:id="rId30" w:history="1">
              <w:r w:rsidR="00464484" w:rsidRPr="00A0606F">
                <w:rPr>
                  <w:rStyle w:val="a8"/>
                  <w:rFonts w:ascii="Times New Roman" w:eastAsia="Times New Roman" w:hAnsi="Times New Roman" w:cs="Times New Roman"/>
                  <w:i/>
                  <w:sz w:val="24"/>
                  <w:szCs w:val="24"/>
                  <w:lang w:val="en-US"/>
                </w:rPr>
                <w:t>https://orativska-gromada.gov.ua/news/1788331561/</w:t>
              </w:r>
            </w:hyperlink>
            <w:r w:rsidR="0046448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A67F90" w:rsidRPr="0046448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(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A67F90" w:rsidRPr="0046448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A67F9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доступні високоякісні робочі місця для різних суспільних груп населення.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597611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5976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ні </w:t>
            </w:r>
            <w:r w:rsidR="00A67F90" w:rsidRPr="005976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підтвердження наявних доступних високоякісних робочих місць для різних суспільних груп мешканців Вашої 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lastRenderedPageBreak/>
              <w:t>громади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 (посилання)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надаються мікрокредити та/або інша підтримка підприємництва для різних суспільних груп населення.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597611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5976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ні </w:t>
            </w:r>
            <w:r w:rsidR="00A67F90" w:rsidRPr="005976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Надайте, будь ласка, документальне підтвердження надання мікрокредитів та/або іншої пітримки підприємництва різним суспільним групам мешканців Вашої громади</w:t>
            </w:r>
            <w:r w:rsidR="00A67F90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 (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A67F90" w:rsidRPr="001037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діють програми підтримки жінок-підприємиць. 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597611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5976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ні </w:t>
            </w:r>
            <w:r w:rsidR="00A67F90" w:rsidRPr="005976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програм підтримки жінок-підприємиць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 (посилання на перелік програм)</w:t>
            </w:r>
          </w:p>
        </w:tc>
      </w:tr>
    </w:tbl>
    <w:p w:rsidR="00FC2EB4" w:rsidRDefault="00FC2EB4" w:rsidP="00FC2E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7F90" w:rsidRPr="00D977A6" w:rsidRDefault="00D977A6" w:rsidP="00A67F90">
      <w:pPr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333B8" w:rsidRPr="009333B8">
        <w:rPr>
          <w:rFonts w:ascii="Times New Roman" w:hAnsi="Times New Roman" w:cs="Times New Roman"/>
          <w:sz w:val="28"/>
          <w:szCs w:val="28"/>
          <w:u w:val="single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9333B8">
        <w:rPr>
          <w:rFonts w:ascii="Times New Roman" w:hAnsi="Times New Roman" w:cs="Times New Roman"/>
          <w:sz w:val="28"/>
          <w:szCs w:val="28"/>
          <w:u w:val="single"/>
        </w:rPr>
        <w:t xml:space="preserve">вересня 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9333B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A67F90">
        <w:rPr>
          <w:rFonts w:ascii="Times New Roman" w:hAnsi="Times New Roman" w:cs="Times New Roman"/>
          <w:sz w:val="28"/>
          <w:szCs w:val="28"/>
        </w:rPr>
        <w:t xml:space="preserve"> </w:t>
      </w:r>
      <w:r w:rsidR="009333B8">
        <w:rPr>
          <w:rFonts w:ascii="Times New Roman" w:hAnsi="Times New Roman" w:cs="Times New Roman"/>
          <w:sz w:val="28"/>
          <w:szCs w:val="28"/>
        </w:rPr>
        <w:t>.</w:t>
      </w:r>
      <w:r w:rsidR="00A67F9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:rsidR="00D977A6" w:rsidRPr="00D977A6" w:rsidRDefault="00D977A6" w:rsidP="00D977A6">
      <w:pPr>
        <w:spacing w:after="0"/>
        <w:ind w:left="6663"/>
        <w:rPr>
          <w:rFonts w:ascii="Times New Roman" w:hAnsi="Times New Roman" w:cs="Times New Roman"/>
          <w:sz w:val="18"/>
          <w:szCs w:val="18"/>
        </w:rPr>
      </w:pPr>
    </w:p>
    <w:sectPr w:rsidR="00D977A6" w:rsidRPr="00D977A6" w:rsidSect="00A67F90">
      <w:headerReference w:type="default" r:id="rId31"/>
      <w:pgSz w:w="12240" w:h="15840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CC5" w:rsidRDefault="00B20CC5" w:rsidP="00A67F90">
      <w:pPr>
        <w:spacing w:after="0" w:line="240" w:lineRule="auto"/>
      </w:pPr>
      <w:r>
        <w:separator/>
      </w:r>
    </w:p>
  </w:endnote>
  <w:endnote w:type="continuationSeparator" w:id="0">
    <w:p w:rsidR="00B20CC5" w:rsidRDefault="00B20CC5" w:rsidP="00A67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CC5" w:rsidRDefault="00B20CC5" w:rsidP="00A67F90">
      <w:pPr>
        <w:spacing w:after="0" w:line="240" w:lineRule="auto"/>
      </w:pPr>
      <w:r>
        <w:separator/>
      </w:r>
    </w:p>
  </w:footnote>
  <w:footnote w:type="continuationSeparator" w:id="0">
    <w:p w:rsidR="00B20CC5" w:rsidRDefault="00B20CC5" w:rsidP="00A67F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775670992"/>
      <w:docPartObj>
        <w:docPartGallery w:val="Page Numbers (Top of Page)"/>
        <w:docPartUnique/>
      </w:docPartObj>
    </w:sdtPr>
    <w:sdtEndPr/>
    <w:sdtContent>
      <w:p w:rsidR="0061716E" w:rsidRPr="00A67F90" w:rsidRDefault="0061716E">
        <w:pPr>
          <w:pStyle w:val="a4"/>
          <w:jc w:val="center"/>
          <w:rPr>
            <w:rFonts w:ascii="Times New Roman" w:hAnsi="Times New Roman" w:cs="Times New Roman"/>
          </w:rPr>
        </w:pPr>
        <w:r w:rsidRPr="00A67F90">
          <w:rPr>
            <w:rFonts w:ascii="Times New Roman" w:hAnsi="Times New Roman" w:cs="Times New Roman"/>
          </w:rPr>
          <w:fldChar w:fldCharType="begin"/>
        </w:r>
        <w:r w:rsidRPr="00A67F90">
          <w:rPr>
            <w:rFonts w:ascii="Times New Roman" w:hAnsi="Times New Roman" w:cs="Times New Roman"/>
          </w:rPr>
          <w:instrText>PAGE   \* MERGEFORMAT</w:instrText>
        </w:r>
        <w:r w:rsidRPr="00A67F90">
          <w:rPr>
            <w:rFonts w:ascii="Times New Roman" w:hAnsi="Times New Roman" w:cs="Times New Roman"/>
          </w:rPr>
          <w:fldChar w:fldCharType="separate"/>
        </w:r>
        <w:r w:rsidR="008469A6" w:rsidRPr="008469A6">
          <w:rPr>
            <w:rFonts w:ascii="Times New Roman" w:hAnsi="Times New Roman" w:cs="Times New Roman"/>
            <w:noProof/>
            <w:lang w:val="ru-RU"/>
          </w:rPr>
          <w:t>37</w:t>
        </w:r>
        <w:r w:rsidRPr="00A67F90">
          <w:rPr>
            <w:rFonts w:ascii="Times New Roman" w:hAnsi="Times New Roman" w:cs="Times New Roman"/>
          </w:rPr>
          <w:fldChar w:fldCharType="end"/>
        </w:r>
      </w:p>
    </w:sdtContent>
  </w:sdt>
  <w:p w:rsidR="0061716E" w:rsidRDefault="0061716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C2EB4"/>
    <w:rsid w:val="00011370"/>
    <w:rsid w:val="000138C6"/>
    <w:rsid w:val="00032AAC"/>
    <w:rsid w:val="00091DAD"/>
    <w:rsid w:val="00097A6B"/>
    <w:rsid w:val="001037D1"/>
    <w:rsid w:val="0015138C"/>
    <w:rsid w:val="00195BBE"/>
    <w:rsid w:val="001C0473"/>
    <w:rsid w:val="001D27C6"/>
    <w:rsid w:val="001D4053"/>
    <w:rsid w:val="002C4577"/>
    <w:rsid w:val="003A57E5"/>
    <w:rsid w:val="003B1C7A"/>
    <w:rsid w:val="003B7B00"/>
    <w:rsid w:val="003E1EAD"/>
    <w:rsid w:val="00402B0B"/>
    <w:rsid w:val="004149AA"/>
    <w:rsid w:val="00441CD9"/>
    <w:rsid w:val="00445805"/>
    <w:rsid w:val="0045736B"/>
    <w:rsid w:val="00464484"/>
    <w:rsid w:val="004704CD"/>
    <w:rsid w:val="0049332B"/>
    <w:rsid w:val="004B0966"/>
    <w:rsid w:val="004D6398"/>
    <w:rsid w:val="004E1224"/>
    <w:rsid w:val="00511D72"/>
    <w:rsid w:val="00534072"/>
    <w:rsid w:val="0053633F"/>
    <w:rsid w:val="0055784F"/>
    <w:rsid w:val="0057750B"/>
    <w:rsid w:val="00593F5F"/>
    <w:rsid w:val="00597611"/>
    <w:rsid w:val="005E6E5F"/>
    <w:rsid w:val="00605135"/>
    <w:rsid w:val="0061716E"/>
    <w:rsid w:val="00621A47"/>
    <w:rsid w:val="00643860"/>
    <w:rsid w:val="006C6C3E"/>
    <w:rsid w:val="00741052"/>
    <w:rsid w:val="0079274B"/>
    <w:rsid w:val="007A2104"/>
    <w:rsid w:val="007C7AD6"/>
    <w:rsid w:val="007F70F2"/>
    <w:rsid w:val="008469A6"/>
    <w:rsid w:val="00866B21"/>
    <w:rsid w:val="00871852"/>
    <w:rsid w:val="0089679C"/>
    <w:rsid w:val="008B511B"/>
    <w:rsid w:val="008E50E3"/>
    <w:rsid w:val="008F0DCF"/>
    <w:rsid w:val="008F225F"/>
    <w:rsid w:val="00910D73"/>
    <w:rsid w:val="00930F90"/>
    <w:rsid w:val="009333B8"/>
    <w:rsid w:val="009662C6"/>
    <w:rsid w:val="00966BB3"/>
    <w:rsid w:val="009B6290"/>
    <w:rsid w:val="00A00676"/>
    <w:rsid w:val="00A204B3"/>
    <w:rsid w:val="00A612DE"/>
    <w:rsid w:val="00A67F90"/>
    <w:rsid w:val="00AE0095"/>
    <w:rsid w:val="00B20385"/>
    <w:rsid w:val="00B20CC5"/>
    <w:rsid w:val="00B42F07"/>
    <w:rsid w:val="00B61CF6"/>
    <w:rsid w:val="00BA4989"/>
    <w:rsid w:val="00BA5BB3"/>
    <w:rsid w:val="00BB5500"/>
    <w:rsid w:val="00BF0203"/>
    <w:rsid w:val="00C6347E"/>
    <w:rsid w:val="00C83BEA"/>
    <w:rsid w:val="00CB1FDA"/>
    <w:rsid w:val="00CF5F18"/>
    <w:rsid w:val="00D20E94"/>
    <w:rsid w:val="00D32321"/>
    <w:rsid w:val="00D32633"/>
    <w:rsid w:val="00D375D3"/>
    <w:rsid w:val="00D378DA"/>
    <w:rsid w:val="00D72E21"/>
    <w:rsid w:val="00D73AAB"/>
    <w:rsid w:val="00D82CF6"/>
    <w:rsid w:val="00D977A6"/>
    <w:rsid w:val="00DB226F"/>
    <w:rsid w:val="00E15243"/>
    <w:rsid w:val="00E32DE8"/>
    <w:rsid w:val="00E84C37"/>
    <w:rsid w:val="00EC0920"/>
    <w:rsid w:val="00EC33A3"/>
    <w:rsid w:val="00ED13A2"/>
    <w:rsid w:val="00EF13A5"/>
    <w:rsid w:val="00EF3593"/>
    <w:rsid w:val="00F32940"/>
    <w:rsid w:val="00F50873"/>
    <w:rsid w:val="00F54DD4"/>
    <w:rsid w:val="00F613FD"/>
    <w:rsid w:val="00F736B5"/>
    <w:rsid w:val="00FC19B6"/>
    <w:rsid w:val="00FC2EB4"/>
    <w:rsid w:val="00FD6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C3E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Accent2">
    <w:name w:val="Grid Table 1 Light Accent 2"/>
    <w:basedOn w:val="a1"/>
    <w:uiPriority w:val="46"/>
    <w:rsid w:val="00FC2EB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3">
    <w:name w:val="Table Grid"/>
    <w:basedOn w:val="a1"/>
    <w:uiPriority w:val="39"/>
    <w:rsid w:val="00FC2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67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7F90"/>
    <w:rPr>
      <w:lang w:val="uk-UA"/>
    </w:rPr>
  </w:style>
  <w:style w:type="paragraph" w:styleId="a6">
    <w:name w:val="footer"/>
    <w:basedOn w:val="a"/>
    <w:link w:val="a7"/>
    <w:uiPriority w:val="99"/>
    <w:unhideWhenUsed/>
    <w:rsid w:val="00A67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7F90"/>
    <w:rPr>
      <w:lang w:val="uk-UA"/>
    </w:rPr>
  </w:style>
  <w:style w:type="character" w:styleId="a8">
    <w:name w:val="Hyperlink"/>
    <w:basedOn w:val="a0"/>
    <w:uiPriority w:val="99"/>
    <w:unhideWhenUsed/>
    <w:rsid w:val="00097A6B"/>
    <w:rPr>
      <w:color w:val="0563C1" w:themeColor="hyperlink"/>
      <w:u w:val="single"/>
    </w:rPr>
  </w:style>
  <w:style w:type="character" w:styleId="a9">
    <w:name w:val="Strong"/>
    <w:basedOn w:val="a0"/>
    <w:uiPriority w:val="22"/>
    <w:qFormat/>
    <w:rsid w:val="00441CD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04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ativska-gromada.gov.ua/2025-rik-09-20-58-13-08-2025/" TargetMode="External"/><Relationship Id="rId13" Type="http://schemas.openxmlformats.org/officeDocument/2006/relationships/hyperlink" Target="https://orativska-gromada.gov.ua/protokoli-zasidannya-radi-11-23-49-30-06-2025/" TargetMode="External"/><Relationship Id="rId18" Type="http://schemas.openxmlformats.org/officeDocument/2006/relationships/hyperlink" Target="https://orativska-gromada.gov.ua/docs/2462455/" TargetMode="External"/><Relationship Id="rId26" Type="http://schemas.openxmlformats.org/officeDocument/2006/relationships/hyperlink" Target="https://orativska-gromada.gov.ua/news/1751270327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school.orativosvita.gov.ua/news/22-32-11-04-05-2026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orativska-gromada.gov.ua/2026-rik-14-54-46-06-05-2026/" TargetMode="External"/><Relationship Id="rId17" Type="http://schemas.openxmlformats.org/officeDocument/2006/relationships/hyperlink" Target="https://orativska-gromada.gov.ua/docs/1752777/" TargetMode="External"/><Relationship Id="rId25" Type="http://schemas.openxmlformats.org/officeDocument/2006/relationships/hyperlink" Target="https://orativska-gromada.gov.ua/news/1788329234/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orativska-gromada.gov.ua/docs/1752750/" TargetMode="External"/><Relationship Id="rId20" Type="http://schemas.openxmlformats.org/officeDocument/2006/relationships/hyperlink" Target="https://school.orativosvita.gov.ua/news/22-28-52-04-05-2026/" TargetMode="External"/><Relationship Id="rId29" Type="http://schemas.openxmlformats.org/officeDocument/2006/relationships/hyperlink" Target="https://orativska-gromada.gov.ua/grafik-roboti-centru-nadannya-administrativnih-roslug-orativskoi-selischnoi-radi-10-54-11-24-02-2021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rativska-gromada.gov.ua/vikonannya-bjudzhetu-gromadi-14-12-19-19-02-2026/" TargetMode="External"/><Relationship Id="rId24" Type="http://schemas.openxmlformats.org/officeDocument/2006/relationships/hyperlink" Target="https://www.facebook.com/p/%D0%9A%D1%83%D0%BB%D1%8C%D1%82%D1%83%D1%80%D0%BD%D0%B0-%D0%9E%D1%80%D0%B0%D1%82%D1%96%D0%B2%D1%89%D0%B8%D0%BD%D0%B0-100091787494783/?locale=uk_UA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orativska-gromada.gov.ua/docs/1752762/" TargetMode="External"/><Relationship Id="rId23" Type="http://schemas.openxmlformats.org/officeDocument/2006/relationships/hyperlink" Target="https://skomoroschky.orativosvita.gov.ua/news/12-38-28-07-05-2026/" TargetMode="External"/><Relationship Id="rId28" Type="http://schemas.openxmlformats.org/officeDocument/2006/relationships/hyperlink" Target="https://orativska-gromada.gov.ua/feedback/" TargetMode="External"/><Relationship Id="rId10" Type="http://schemas.openxmlformats.org/officeDocument/2006/relationships/hyperlink" Target="https://orativska-gromada.gov.ua/vikonannya-bjudzhetu-gromadi-08-16-29-27-08-2026/" TargetMode="External"/><Relationship Id="rId19" Type="http://schemas.openxmlformats.org/officeDocument/2006/relationships/hyperlink" Target="https://orativska-gromada.gov.ua/zapobigannya-ta-protidiya-domashnomu-nasilstvu-14-47-19-24-01-2023/" TargetMode="External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orativska-gromada.gov.ua/molodizhna-rada-13-24-14-02-08-2021/" TargetMode="External"/><Relationship Id="rId14" Type="http://schemas.openxmlformats.org/officeDocument/2006/relationships/hyperlink" Target="https://orativska-gromada.gov.ua/news/1783333481/" TargetMode="External"/><Relationship Id="rId22" Type="http://schemas.openxmlformats.org/officeDocument/2006/relationships/hyperlink" Target="https://skomoroschky.orativosvita.gov.ua/news/13-45-55-03-03-2026/" TargetMode="External"/><Relationship Id="rId27" Type="http://schemas.openxmlformats.org/officeDocument/2006/relationships/hyperlink" Target="https://orativska-gromada.gov.ua/" TargetMode="External"/><Relationship Id="rId30" Type="http://schemas.openxmlformats.org/officeDocument/2006/relationships/hyperlink" Target="https://orativska-gromada.gov.ua/news/1788331561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8AC31-4EB3-4263-8881-15B17A989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39</Pages>
  <Words>11708</Words>
  <Characters>66741</Characters>
  <Application>Microsoft Office Word</Application>
  <DocSecurity>0</DocSecurity>
  <Lines>556</Lines>
  <Paragraphs>156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Негода Мирослава Сергіївна</dc:creator>
  <cp:keywords/>
  <dc:description/>
  <cp:lastModifiedBy>User</cp:lastModifiedBy>
  <cp:revision>86</cp:revision>
  <dcterms:created xsi:type="dcterms:W3CDTF">2025-07-15T13:44:00Z</dcterms:created>
  <dcterms:modified xsi:type="dcterms:W3CDTF">2026-09-21T08:33:00Z</dcterms:modified>
</cp:coreProperties>
</file>