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EB4" w:rsidRPr="00FC2EB4" w:rsidRDefault="00FC2EB4" w:rsidP="00FC2EB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42F07" w:rsidRPr="00A67F90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FC2EB4" w:rsidRDefault="00FC2EB4" w:rsidP="00FC2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F90">
        <w:rPr>
          <w:rFonts w:ascii="Times New Roman" w:hAnsi="Times New Roman" w:cs="Times New Roman"/>
          <w:b/>
          <w:sz w:val="28"/>
          <w:szCs w:val="28"/>
        </w:rPr>
        <w:t>Індекс безбар’єрності територіальної громади</w:t>
      </w:r>
    </w:p>
    <w:p w:rsidR="00D82CF6" w:rsidRPr="000D4337" w:rsidRDefault="00D82CF6" w:rsidP="00FC2E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4337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 w:rsidR="000D4337" w:rsidRPr="000D4337">
        <w:rPr>
          <w:rFonts w:ascii="Times New Roman" w:hAnsi="Times New Roman" w:cs="Times New Roman"/>
          <w:b/>
          <w:sz w:val="28"/>
          <w:szCs w:val="28"/>
          <w:u w:val="single"/>
        </w:rPr>
        <w:t xml:space="preserve">Іллінецька </w:t>
      </w:r>
      <w:r w:rsidR="00A9278C">
        <w:rPr>
          <w:rFonts w:ascii="Times New Roman" w:hAnsi="Times New Roman" w:cs="Times New Roman"/>
          <w:b/>
          <w:sz w:val="28"/>
          <w:szCs w:val="28"/>
          <w:u w:val="single"/>
        </w:rPr>
        <w:t xml:space="preserve">міська </w:t>
      </w:r>
      <w:bookmarkStart w:id="0" w:name="_GoBack"/>
      <w:bookmarkEnd w:id="0"/>
      <w:r w:rsidR="000D4337" w:rsidRPr="000D4337">
        <w:rPr>
          <w:rFonts w:ascii="Times New Roman" w:hAnsi="Times New Roman" w:cs="Times New Roman"/>
          <w:b/>
          <w:sz w:val="28"/>
          <w:szCs w:val="28"/>
          <w:u w:val="single"/>
        </w:rPr>
        <w:t>територіальна громада</w:t>
      </w:r>
      <w:r w:rsidRPr="000D4337">
        <w:rPr>
          <w:rFonts w:ascii="Times New Roman" w:hAnsi="Times New Roman" w:cs="Times New Roman"/>
          <w:b/>
          <w:sz w:val="28"/>
          <w:szCs w:val="28"/>
          <w:u w:val="single"/>
        </w:rPr>
        <w:t xml:space="preserve">___ </w:t>
      </w:r>
    </w:p>
    <w:p w:rsidR="00A67F90" w:rsidRPr="000138C6" w:rsidRDefault="00D82CF6" w:rsidP="00B20385">
      <w:pPr>
        <w:jc w:val="center"/>
        <w:rPr>
          <w:rFonts w:ascii="Times New Roman" w:hAnsi="Times New Roman" w:cs="Times New Roman"/>
          <w:sz w:val="20"/>
          <w:szCs w:val="20"/>
        </w:rPr>
      </w:pPr>
      <w:r w:rsidRPr="000138C6">
        <w:rPr>
          <w:rFonts w:ascii="Times New Roman" w:hAnsi="Times New Roman" w:cs="Times New Roman"/>
          <w:sz w:val="20"/>
          <w:szCs w:val="20"/>
        </w:rPr>
        <w:t>(назва територіальної громади, область</w:t>
      </w:r>
      <w:r w:rsidR="000138C6">
        <w:rPr>
          <w:rFonts w:ascii="Times New Roman" w:hAnsi="Times New Roman" w:cs="Times New Roman"/>
          <w:sz w:val="20"/>
          <w:szCs w:val="20"/>
        </w:rPr>
        <w:t>/м. Київ</w:t>
      </w:r>
      <w:r w:rsidRPr="000138C6">
        <w:rPr>
          <w:rFonts w:ascii="Times New Roman" w:hAnsi="Times New Roman" w:cs="Times New Roman"/>
          <w:sz w:val="20"/>
          <w:szCs w:val="20"/>
        </w:rPr>
        <w:t>)</w:t>
      </w:r>
    </w:p>
    <w:p w:rsidR="00B20385" w:rsidRPr="00A67F90" w:rsidRDefault="00B20385" w:rsidP="00B2038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7F90">
        <w:rPr>
          <w:rFonts w:ascii="Times New Roman" w:hAnsi="Times New Roman" w:cs="Times New Roman"/>
          <w:i/>
          <w:sz w:val="24"/>
          <w:szCs w:val="24"/>
        </w:rPr>
        <w:t xml:space="preserve">Шановні представники </w:t>
      </w:r>
      <w:r w:rsidR="00A67F90">
        <w:rPr>
          <w:rFonts w:ascii="Times New Roman" w:hAnsi="Times New Roman" w:cs="Times New Roman"/>
          <w:i/>
          <w:sz w:val="24"/>
          <w:szCs w:val="24"/>
        </w:rPr>
        <w:t xml:space="preserve">територіальної </w:t>
      </w:r>
      <w:r w:rsidRPr="00A67F90">
        <w:rPr>
          <w:rFonts w:ascii="Times New Roman" w:hAnsi="Times New Roman" w:cs="Times New Roman"/>
          <w:i/>
          <w:sz w:val="24"/>
          <w:szCs w:val="24"/>
        </w:rPr>
        <w:t>громади!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Звертаємо вашу увагу, що запитання сформульовані у вигляді тез, які вам потрібно: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1) або оцінити</w:t>
      </w:r>
      <w:r w:rsidR="00402B0B">
        <w:rPr>
          <w:rFonts w:ascii="Times New Roman" w:hAnsi="Times New Roman" w:cs="Times New Roman"/>
          <w:sz w:val="24"/>
          <w:szCs w:val="24"/>
        </w:rPr>
        <w:t xml:space="preserve"> та обрати із запропонованих</w:t>
      </w:r>
      <w:r w:rsidR="003B7B00">
        <w:rPr>
          <w:rFonts w:ascii="Times New Roman" w:hAnsi="Times New Roman" w:cs="Times New Roman"/>
          <w:sz w:val="24"/>
          <w:szCs w:val="24"/>
        </w:rPr>
        <w:t xml:space="preserve"> варіантів</w:t>
      </w:r>
      <w:r w:rsidR="00402B0B">
        <w:rPr>
          <w:rFonts w:ascii="Times New Roman" w:hAnsi="Times New Roman" w:cs="Times New Roman"/>
          <w:sz w:val="24"/>
          <w:szCs w:val="24"/>
        </w:rPr>
        <w:t xml:space="preserve"> рівень</w:t>
      </w:r>
      <w:r w:rsidR="00402B0B" w:rsidRPr="00A67F90">
        <w:rPr>
          <w:rFonts w:ascii="Times New Roman" w:hAnsi="Times New Roman" w:cs="Times New Roman"/>
          <w:sz w:val="24"/>
          <w:szCs w:val="24"/>
        </w:rPr>
        <w:t xml:space="preserve">, який найбільше відповідає реальній ситуації у громаді </w:t>
      </w:r>
      <w:r w:rsidRPr="00A67F90">
        <w:rPr>
          <w:rFonts w:ascii="Times New Roman" w:hAnsi="Times New Roman" w:cs="Times New Roman"/>
          <w:sz w:val="24"/>
          <w:szCs w:val="24"/>
        </w:rPr>
        <w:t>(кожен рівень описано орієнтовн</w:t>
      </w:r>
      <w:r w:rsidR="00402B0B">
        <w:rPr>
          <w:rFonts w:ascii="Times New Roman" w:hAnsi="Times New Roman" w:cs="Times New Roman"/>
          <w:sz w:val="24"/>
          <w:szCs w:val="24"/>
        </w:rPr>
        <w:t>ими альтернативними варіантами;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B20385" w:rsidRPr="00A67F90" w:rsidRDefault="00B20385" w:rsidP="00A67F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F90">
        <w:rPr>
          <w:rFonts w:ascii="Times New Roman" w:hAnsi="Times New Roman" w:cs="Times New Roman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умови її наяності. Якщо інформамація відсутня - залишаєте поле пустим. Адже набільш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p w:rsidR="00B20385" w:rsidRPr="00FC2EB4" w:rsidRDefault="00B20385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062"/>
      </w:tblGrid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 Фізична доступність просторів, адміністративних будівель та транспорту</w:t>
            </w:r>
          </w:p>
        </w:tc>
      </w:tr>
      <w:tr w:rsidR="00FC2EB4" w:rsidRPr="00FC2EB4" w:rsidTr="00D977A6">
        <w:trPr>
          <w:trHeight w:val="1080"/>
        </w:trPr>
        <w:tc>
          <w:tcPr>
            <w:tcW w:w="704" w:type="dxa"/>
            <w:vMerge w:val="restart"/>
            <w:noWrap/>
            <w:hideMark/>
          </w:tcPr>
          <w:p w:rsidR="00FC2EB4" w:rsidRPr="00B20385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20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моніторинг бар'єрів у публічному просторі (будівлі, тротуари, зупинки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ні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D4337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так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звіт за результатами проведеного моніторингу наявних бар'єрів у Вашій громаді ___________________________  (посилання на звіт)</w:t>
            </w:r>
          </w:p>
        </w:tc>
      </w:tr>
      <w:tr w:rsidR="00FC2EB4" w:rsidRPr="00FC2EB4" w:rsidTr="00D977A6">
        <w:trPr>
          <w:trHeight w:val="97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402B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Громадський тра</w:t>
            </w:r>
            <w:r w:rsidR="00402B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спорт доступний для людей з порушеннями функціонування та інших маломобільних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транспорт не пристосований для потреб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(пандуси, низька підлога, фіксатори крісел колісних тощо)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пристосовані лише окремі одиниці транспорту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Нижче середнього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відсутній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половину (понад 50%) транспортних засобів базово пристосовано для маломобільних осіб (наприклад, 6 із 10 автобусів мають пандуси, кнопки виклику водія, місця для крісел колісних)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системний підхід до оновлення та використання доступного транспорту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Вище середнього рівня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транспорту (понад 75%) має комплексне обладнання для маломобільних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системний підхід до забезпечення доступності транспорту та оновлення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увесь (100%) транспорт на маршруті або в мережі відповідає вимогам доступності (наприклад, усі 10 з 10 автобусів мають комплексні пристосування)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системну та стійку доступність на рівні інфраструктури, навчання водіїв та технічного обслуговування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062" w:type="dxa"/>
            <w:hideMark/>
          </w:tcPr>
          <w:p w:rsidR="00FC2EB4" w:rsidRPr="00ED13A2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 (за наявності) документальне підтвердження доступності громадського траспорту для осіб з порушеннями функціонування та інших маломобільних груп населення (зокрема, розрахунку відсотків) __________________ (посилання на звіт)</w:t>
            </w:r>
          </w:p>
        </w:tc>
      </w:tr>
      <w:tr w:rsidR="00FC2EB4" w:rsidRPr="00FC2EB4" w:rsidTr="00D977A6">
        <w:trPr>
          <w:trHeight w:val="103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зручними лавками, пішохідними доріжками з рівним покриттям, доступними туалетами, паркувальними місцями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у громадських зонах відсутні або повністю недоступні: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лавки (наприклад, немає або незручні для осіб з порушенням функціонування),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доступні туалети (наприклад, жодного громадського туалету з безбар’єрним входом),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рівні пішохідні доріжки (напркилад, наявне ґрунтове або вибоїсте покриття),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паркувальні місця з елементами доступності (наприклад, відсутні).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немає жодного простору, який би враховував потреби осіб з інвалідністю чи маломобільних груп населення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паркомісця для осіб з інвалідністю або не позначені, або зайняті сторонніми авто; доріжки мають ділянки з небезпечними нерівностями)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більшість елементів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системний підхід до розміщення доступних рішень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громадських зон мають окремі елементи безбар’єрного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окремі зони можуть бути пристосовані, але частково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якомучастина елементів досить часто  несправні, застарілі або незручні для використання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г) </w:t>
            </w:r>
            <w:r w:rsidR="00FC2EB4"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громадських зон мають базове облаштування для осіб з інвалідністю та інших маломобільних груп населення (наприклад, туалети із поручнями; лавки з підлокітниками;  рівні, тверді пішохідні доріжки;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перважана більшість адаптацій доглядаються і підтримуються у належному стані, проте деякі можуть бути несправні, застарілі або незручні для використання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простори можуть бути також частково зоновані логічно (зручне розташування длстурних туалетів, лавок і паркомісць)</w:t>
            </w:r>
          </w:p>
        </w:tc>
      </w:tr>
      <w:tr w:rsidR="00FC2EB4" w:rsidRPr="00FC2EB4" w:rsidTr="00866B21">
        <w:trPr>
          <w:trHeight w:val="69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75% громадських зон у громаді облаштовано з урахуванням потреб осіб з інвалідністю та інших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паркувальні місця з елементами доступності)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як правило, розміщення елементів логічне та зручне: наприклад, зони комфорту (туалети, лавки, паркомісця) розміщено поруч одна з одною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більшість елементів є новими або відремонтованими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наявні незначні пошкодження/несправності окремих адаптацій, які вчасно ремонтуються/замінюються</w:t>
            </w:r>
          </w:p>
        </w:tc>
      </w:tr>
      <w:tr w:rsidR="00FC2EB4" w:rsidRPr="00FC2EB4" w:rsidTr="00D977A6">
        <w:trPr>
          <w:trHeight w:val="232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(100%) пристосовано до потреб осіб з інвалідністю та інших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громадські зони облаштовано та зоновано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забезпечена на рівні навігації та зонування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наявна система моніторингу та технічного обслуговування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випадки пошкодшень,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документальне підтвердження забезпечення зручними лавками, пішохідними доріжками з рівним покриттям, доступними туалетами, паркувальними місцями з елементами доступності громадських місць Вашої громади (зокрема, розрахунку відсотків)</w:t>
            </w:r>
            <w:r w:rsid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091DAD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091DAD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402B0B">
        <w:trPr>
          <w:trHeight w:val="507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Громадські зони забезпечено освітленням.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джерела освітлення наявні лише в окремих зонах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 є також варіант, при якому джерела освітлення в переважній більшості несправні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</w:t>
            </w:r>
            <w:r w:rsidR="003B7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світлення наявні у понад 25% зон, однак розташовані можуть бути нерівномірно, поодиноко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освітлення може бути слабким, не освтілювати всі зони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091DAD"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більшості зон (понад 50%) забезпечено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джерела освітлення логічно розміщені та в переважній більшості є справними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освітленням забезпечено переважну більшість простору громадських зон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більшість громадських зон (понад 75%) забезпечено якісним, рівномірним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освітлюються ключові маршрути переміщення, зони очікування, входи до публічних будівель, пішохідні доріжки та паркувальні місця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громадські простори (100%) мають якісне освітлення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освітленням забезпечено всі маршрути громадських зон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наявність освітлення контролюєтьсяя та підтримується стабільна робота його джерел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функціонує механізм моніторингу роботи освітлення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громадських зон Вашої громади освітленням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Зупинки громадського транспорту громади обладнані навісами, інформаційними табло та зонами очікування з елементами доступності.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наявні зупинки не мають жодного елементу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навіси, сидіння, інформація про маршрути.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доступними є понад 25% з наявних зупинок (напрклад, є навіси, місця для очікування, подекуди -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відсутня системність в облаштуванні зупинок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091DAD" w:rsidRPr="000D43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зупинок обладнані базовими елементами доступності (наприклад, наявні навіси, лавки, пандуси, інформаційні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переважній більшості випадків враховані потреби маломобільних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зупинок у громаді обладнано елементами доступності (напркилад, навісами, лавками, пандусами, контрастною розміткою, справними інформаційними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потреби маломобільних груп населення враховано комплексно, у тому числі доступність простору для крісел колісних, людей з тростинами або дитячими візками.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FC2EB4" w:rsidRPr="00FC2EB4" w:rsidTr="00D977A6">
        <w:trPr>
          <w:trHeight w:val="8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(100%) відповідають вимогам інклюзивності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враховано потреби всіх груп населення (наприклад, наявна система озвучування інформації з табло)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всі зупинки громадського транспорту 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облаштування регулярно обслуговується, ремонтуються, оновлюються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функціонує стала система моніторингу, обслуговування і оновлення інфраструктури зупинок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(зокрема, розрахунку відсотків)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наявна відповідна розмітка, освітлення та маркування з елементами доступності пішохідних переходів у місцях з високим трафіком.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відсутня будь-яка розмітка та/або освітлення на усіх пішохідних переходах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пішохідні переходи важко помітні та складні для орієнтації, особливо в темний час доби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відсутні будь-які елементами доступності пішохідних переходів у місцях з високим трафіком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пішохідних переходів мають стару, стерту або частково знищену розмітку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освітлення часто відсутнє або не працює взагалі (до 25% пішохідних переходів)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маркування для осіб з порушенням зору</w:t>
            </w:r>
          </w:p>
        </w:tc>
      </w:tr>
      <w:tr w:rsidR="00FC2EB4" w:rsidRPr="00FC2EB4" w:rsidTr="00F32940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1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в) </w:t>
            </w:r>
            <w:r w:rsidR="00FC2EB4" w:rsidRPr="00441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переходів мають розмітку, що може бути частково стертою або нерівномірно нанесеною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понад 25% переходів мають базове освітлення, однак воно незабезпечує якісне освітлення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переходів у зонах з високим трафіком облаштовано розміткою, маркуванням, освітленням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розмітка на більшості переходів (понад 50%) середнього рівня збереження, але частина з них потребує оновлення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впроваджено частковий підхід до врахування потреб маломобільних груп</w:t>
            </w:r>
          </w:p>
        </w:tc>
      </w:tr>
      <w:tr w:rsidR="00FC2EB4" w:rsidRPr="00FC2EB4" w:rsidTr="00D977A6">
        <w:trPr>
          <w:trHeight w:val="698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більшість пішохідних переходів (понад 75%) у місцях з високим трафіком облаштовано з урахуванням потреб осіб з інвалідністю та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наявне якісне освітлення, свіжа, чітка розмітка, а також тактильні елементи для орієнтації осіб з порушенням зору у понад 75%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првило, у разі пошкоджень або зношення елементів забезпечується їх своєчасне відновлення чи заміна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підхід до забезпечення доступності та оновлення пристосувань є системним</w:t>
            </w:r>
          </w:p>
        </w:tc>
      </w:tr>
      <w:tr w:rsidR="00FC2EB4" w:rsidRPr="00FC2EB4" w:rsidTr="00D977A6">
        <w:trPr>
          <w:trHeight w:val="166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усі переходи (100%) в місцях із трафіком  відповідають вимогам інклюзивності та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встановлено якісне освітлення, яскраву та оновлену розмітку, контрастні елементи, тактильну плитку, зручну навігацію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всі елементи підтримується в належному стані, ремонтуються, оновлюються без затримок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Світлофори громади забезпечено елементами оповіщення для осіб з порушенням зору.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52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а) </w:t>
            </w:r>
            <w:r w:rsidR="00091DAD" w:rsidRPr="00852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Не забезпечено належний рівень</w:t>
            </w:r>
            <w:r w:rsidR="00FC2EB4" w:rsidRPr="00852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усі світлофори не мають жодних елементів звукового оповіщення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орієнтація для осіб із порушенням зору є вркай ускладненою чи недоступною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жодних заходів щодо врахування інклюзивності на рівні світлофорної інфраструктури не передбачено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менше 25% світлофорів (наприколад, лише 1–2 світлофори) мають звукове оповіщення, або вони часто не працюють або встановлені хаотично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розміщення таких пристроїв не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відсутня система обслуговування таких пристроїв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25% світлофорів мають звукове оповіщення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досить часто неузгоджені або несправні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як правило, розміщення таких пристроїв частково враховує зони пріоритетного пішохідного руху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 можливим є також варіант, при якому роботи з  обслуговування таких пристроїв проводяться епізодично</w:t>
            </w:r>
          </w:p>
        </w:tc>
      </w:tr>
      <w:tr w:rsidR="00FC2EB4" w:rsidRPr="00FC2EB4" w:rsidTr="00D977A6">
        <w:trPr>
          <w:trHeight w:val="231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Середній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розміщення таких пристроїв надано у районах з інтенсивним трафіком та пішохідним маршрутам загального користування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частина систем може бути несправною або працювати нестабільно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світлофорів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пріоритет надано зонам з інтенсивним рухом, поруч із громадськими установами, школами та зупинками транспорту.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усі елементи змонтовані з урахуванням просторової логіки руху пішоходів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світлофори (100%)  у громаді обладнано функціональними системами звукового оповіщення, які допомагають орієнтуватися особам з порушенням зору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відповідні системи перевіряються й обслуговуються регулярно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звукові сигнали мають регульовану гучність відповідно до рівня шуму в навколишньому середовищі (адаптивна система)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впроваджено систему планового технічного обслуговування, моніторингу та превентивного ремонту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світлофорів елементами оповіщення для осіб з порушенням зору у Вашій громаді (зокрема, </w:t>
            </w: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розрахунку відсотків)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Публічні простори та адмінбудівлі доступні для маломобільних груп.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091DAD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відсутні будь-які пристосування для маломобільних груп населення у публічних просторах та адмінбудівлях (відсутні пандуси, ліфти, широкі проходи, тактильні елементи тощо)</w:t>
            </w:r>
          </w:p>
        </w:tc>
      </w:tr>
      <w:tr w:rsidR="00FC2EB4" w:rsidRPr="00091DAD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32940" w:rsidP="00091D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091DAD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Низький рівень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загальна частка доступних об'єктів - менше 25%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деякі об'єкти мають окремі пристосування, але вони поодинокі й несистемні</w:t>
            </w:r>
            <w:r w:rsidR="00FC2EB4" w:rsidRPr="0009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52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8526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доступність забезпечено у частині просторів та адмінбудівель (понад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системний  підхід до забезпечення доступності та оновлення пристосувань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FC2EB4" w:rsidRPr="00FC2EB4" w:rsidTr="00D977A6">
        <w:trPr>
          <w:trHeight w:val="165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переважна більшість публічних просторва та адмінбудівель (понад 50%) мають необхідні пристосування для маломобільних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доступ забезпечено системно (наявні пандуси, ліфти, широкі проходи, тактильні елементи, навігація, доступні туалети тощо)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 є також варіант, при якому можуть враховуватися не всі потреби осіб з порушеннями функціонування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маломобільні групи населення можуть вільно пересуватись більшістю просторів</w:t>
            </w:r>
          </w:p>
        </w:tc>
      </w:tr>
      <w:tr w:rsidR="00FC2EB4" w:rsidRPr="00FC2EB4" w:rsidTr="00D977A6">
        <w:trPr>
          <w:trHeight w:val="264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публічних просторів та адмінбудівель у громаді мають функціональні пристосування для маломобільних груп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наявна логіка доступного зонування, наприклад, всі основні сервіси розміщені на доступних поверхах або є ліфт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виявлені пошкодження або зношення елементів доступності ремонтуються в оперативні строки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(100%) публічні простори та адміністративні будівлі громади облаштовано комплексно, згідно з принципами універсального дизайну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враховано потреби всіх осіб з тим чи іншим порушенням функціонування (рух, зір, слух тощо)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передбачено навігацію кількома каналами - зорову, тактильну, аудіо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маломобільні групи населення можуть вільно пересуватись та користуватись усіма функціональними зонами без обмежень чи супроводу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вроваджено систему регулярного моніторингу технічного стану адаптацій, ремонту та оновлення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забезпечення доступності публічних просторів та адмінбудівель у Вашій громаді (зокрема, розрахунку відсотків)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зелені зони (парки, сквери тощо) в рамках пішої доступності із відповідним облаштуванням щодо вимог безбар’рності (10 хв пішки).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пішої доступності (до 10 хвилин ходьби) від житлових масивів відсутні будь-які зелені зони (парки, сквери, громадські сади).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облаштування з урахуванням безбар’єрності (наприклад, відсутні пандуси, доріжки з твердим покритттям, зручні лавки, тактильні елементи, доступні входи)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навколишній простір є непридатним для відпочинку осіб із порушенням функціонування.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межах 10 хв ходьби наявні лише 1 зелена зона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доступні лише поодинокі елементи безбар’єрності, часто несправні або незручні (наприклад, один пандус, зношені лавки тощо).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вхід може бути важкодоступним або незручним для маломобільних груп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в межах пішої доступності наявні, але охоплюють лише частину району (25–50% житлових кварталів)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FC2EB4" w:rsidRPr="00FC2EB4" w:rsidTr="00F32940">
        <w:trPr>
          <w:trHeight w:val="1309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2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г) </w:t>
            </w:r>
            <w:r w:rsidR="00FC2EB4" w:rsidRPr="00912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понад 50% жителів громади мають доступ до облаштованих зелених зон у межах 10 хвилин пішої 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зелені зони базово пристосовані для осіб з інвалідністю чи маломобільних груп населення (наприклал, є доріжки з твердим покриттям, пандуси, лавки з підлокітниками, частково - доступні туалети)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– можливим є також варіант, при якому може бракувати окремих елементів доступності  (наприклад, тактильних елементів, навігації, логіки зонування)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виявлені несправності усуваються, але системного контролю або моніторингу немає</w:t>
            </w:r>
          </w:p>
        </w:tc>
      </w:tr>
      <w:tr w:rsidR="00FC2EB4" w:rsidRPr="00FC2EB4" w:rsidTr="00D977A6">
        <w:trPr>
          <w:trHeight w:val="198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населення громади мають регулярний доступ до зелених зон із комплексними елементами доступності (у радіусі 10 хв ходьби)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облаштовані системно (наприклад, є доступні входи, доріжки з твердим, рівним покриттям, зручні лавки з підлокотниками, доступні туалети, частково – тактильна навігація, зони затінення)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логічне зонування, зручні маршрути для осіб з різними типами порушень.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несправності усуваються оперативно</w:t>
            </w:r>
          </w:p>
        </w:tc>
      </w:tr>
      <w:tr w:rsidR="00FC2EB4" w:rsidRPr="00FC2EB4" w:rsidTr="00D977A6">
        <w:trPr>
          <w:trHeight w:val="199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житлові квартали громади мають зелені зони в межах 10-хвилинної пішої доступності, повністю облаштовані за принципами універсального дизайну.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зонах є єдоступні входи, доріжки з твердим, рівним покриттям, зручні лавки з підлокотниками, доступні туалети, тактильна навігація, зони затінення, сенсорні доріжки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усі елементи підтримуються в належному стані, є система регулярного технічного обслуговування та моніторингу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зелені зони є інклюзивними, безпечними та комфортними для всіх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відповідним облаштуванням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45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60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 Участь мешканців у прийнятті рішень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працює механізм залучення різних суспільних груп (жінок, молоді, ВПО, осіб з інвалідністю) до прийняття рішень, які стосуються життя у Вашій громаді, з рекомендованою мінімальною частотою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32940" w:rsidP="00D977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з частотою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раз на рік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3 квартали </w:t>
            </w:r>
            <w:r w:rsidR="00FC2EB4" w:rsidRPr="00D977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2 квартали року </w:t>
            </w:r>
          </w:p>
        </w:tc>
      </w:tr>
      <w:tr w:rsidR="00FC2EB4" w:rsidRPr="00D977A6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сцспільних груп (жінок, молоді, ВПО, людей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 прийняття рішень, які стосуються життя у Вашій громаді 1 раз на 1 квартал року 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32940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наявний механізм залучення різних суспільних груп (жінок, молоді, ВПО, осіб з інвалідністю)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 прийняття рішень, які стосуються життя у Вашій громаді щомісячно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стосуються життя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Проводяться регулярні публічні консультації з питань безбар’єрності та інклюзії, з рекомендованою мінімальною частотою 1 раз на 1 квартал.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відсутнє проведення регулярних публічних консультацій з питань безбар’єрності та інклюзії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протягом 1-го кварталу року (1 раз на рік)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2-х кварталів року (2 рази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протягом 3-х кварталів року (3 рази на рік)</w:t>
            </w:r>
          </w:p>
        </w:tc>
      </w:tr>
      <w:tr w:rsidR="00FC2EB4" w:rsidRPr="00FC2EB4" w:rsidTr="00D977A6">
        <w:trPr>
          <w:trHeight w:val="687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проведення публічних консультацій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проведення публічних консультацій щомісячно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Додайте, будь ласка, протокол/звіт за результатами проведених публічних консультацій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Представники різних суспільних груп населення, що проживають у громаді, входять до складу дорадчих органів. </w:t>
            </w:r>
            <w:r w:rsidR="00F32940" w:rsidRPr="0030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відсутня залученість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діє програма/програми підтримки ініціатив мешканців (фінансування за кошти донорів проєктів МТД).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97C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наданої підтримки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опублікування річного звіту громади щодо бюджетування у відкритому доступі.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E97CAA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091DAD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забезпечено проведення відкритих слухань громади щодо місцевих проєктів розвитку. </w:t>
            </w:r>
            <w:r w:rsidR="00F32940" w:rsidRPr="0030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проводиться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 відкрите слухання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2-3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4-5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6-9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е) </w:t>
            </w:r>
            <w:r w:rsidR="00FC2EB4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Високий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проведено 10 і більше відкритих слухань громади щодо місцевих проєктів розвитку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протокол/звіт за результатами проведення відкритих слухань громади щодо місцевих проєктів розвитку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Громада залучає зовнішнє фінансування, таке як гранти та пільгове фінансування від міжнародних партнерів.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Низький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менше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вищевказане зовнішнє фінансування складає понад 25% від бюджету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 вищевказане зовнішнє фінансування складає понад 50% від бюджету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понад 75%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вищевказане зовнішнє фінансування складає 100% від бюджету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 є наявними громадські організації, що займаються підтримкою осіб з інвалідністю.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немає наявних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E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наявна 1 громадська організація, що займається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2-3 громадські організації,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наявні 4-5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6-9 громадських організацій, що займаються підтримкою осіб з інвалідністю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Високий рівень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наявні 10 і більше громадських організацій, що займаються підтримкою осіб з інвалідністю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громадських організацій з назвами, що займаються підтримкою осіб з інвалідністю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інформацію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громаді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наявна місцева Рада безбарʼєрності та проводяться засідання протягом року. </w:t>
            </w:r>
            <w:r w:rsidR="00F32940" w:rsidRPr="0030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відсутня Рада Безбар'єрності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протягом року (1 раз на рік)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2 рази на рік (раз на рів року)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3 рази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одного засідання щоквартально (4 рази на рік)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наявна рада та проведення засідань більше 4-х разів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проведення місцевої Ради безбар'єрності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новину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3. Стійкість громади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проводиться  щорічне громадське опитування щодо потреб мешканців.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A08B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результати проведеного щорічного громадського опитування щодо потреб мешканців у Вашій громаді </w:t>
            </w:r>
            <w:r w:rsidR="002A08BD" w:rsidRPr="002A08B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https://illintsi-mrada.gov.ua/news/314796-pro-pidtrimku-zaxisnikiv-u-gromadi-vidbulasia-zustric-iz-veteranami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наявний власний план дій (план евакуації)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A08B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надзвичайних ситуацій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 дій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Різні суспільні групи населення, що проживають у громаді, включені у план дій громади на випадок надзвичайних ситуацій.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2A08BD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  <w:r w:rsidRPr="002A08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план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тренінги або навчання з безпеки життєдіяльності для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а)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тренінги  або навчання з безпеки життєдіяльності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тренінг та навчання з безпеки життєдіяльності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- у громаді проводиться 2-3 тренінги та навчання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проводиться 4-5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тренінгів та навчань з безпеки життєдіяльності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буль ласка, документальне підтвердження кількості проведених тренінгів або навчань з безпеки життєдіяльності для мешканців, що проводяться протягом року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Наявні договори/меморандуми з містами-побратимами (договори співпраці з іншим містом/містами).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договорів/меморандумів, а також документальне підтвердження їхньої наявності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забезпечено доступ до укриттів для осіб з порушеннями опорно-рухового апарату, зору, слуху.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а)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менше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25%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доступом понад 50%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понад 75%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доступом 100% укриттів для осіб з порушеннями опорно-рухового апарату, зору, слуху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загальну кількість облаштованих укриттів та надайте документальне підтвердження облаштувань (фотозвіт)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розміщена інформація про евакуацію в доступних форматах (проста (спрощена) мова, шрифт Брайля, відео з перекладом жестовою мовою тощо).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визначених потреб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 w:rsidRPr="006D14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866B21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програми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Населення громади охоплено послугами первинної медичної допомоги, включно з населенням віддалених районів громади.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д)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 населенням віддалених районів Вашої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послугами вищевказаних інституцій охоплено менше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25%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50% населення громади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понад 75% населення громади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послугами вищевказаних інституцій охоплено 100% населення громади 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підтримки, центри життєстійкості тощо)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рівень безпеки в різних районах міста є приблизно однаковим.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безпекової ситуації в різних районах міста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впроваджуються ініціативи сталого розвитку, які включено до стратегії громади.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ініціатив, а також документальне підтвердження їхньої наявності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4. Освітня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разі звернення батьків дитини з ООП або осіб, що їх замінюють, в громаді створюється інклюзивний клас.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всі звернення ігноруються або залишаються без реагування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поодиноких випадках (менше 25% від поданих заяв)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25%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інклюзивні класи створюються в понад 50% випадків від поданих заяв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понад 75% випадків від поданих заяв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інклюзивні класи створюються в 100% випадків від поданих заяв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випадків відкриття інклюзивних класів за заявами ибатьків або осіб, що їх замінюють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Здобувачі освіти та їхні батьки (особи, що їх замінюють) поінформовані про право на інклюзивне навчання в громаді.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жодних інформаційних заходів  не проводиться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офіційна інформація відсутня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інформаційні заходи не охоплюють більшість здобувачів та їхніх батьків (менше 25%)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ьути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інформаційні заходи охоплюють понад 25% здобувачів освіти та їхніх батьків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без системності (наприклад окрім повідомлень, також проводяться 1-2 очні зустрічі  або консультації в окремих класах протягом навчального року)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інформацію отримують більшість здобувачів освіти та їхніх батьків (понад 50%)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вебінари)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д)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інфомацією охоплено майже всіх здобувачів освіти та їхніх батьків (понад 75%)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реалізовано системне інформування (наприклад, через сайти, адміністрацію та педпрацівників закладів освіти (в т.ч. через месенджери), працівників ІРЦ (у разі зверення))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широке охоплення аудиторії (100 %)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поінформованості здобувачів освіти та їхніх батьків (осіб, що їх замінюють) про право на інклюзивне навчання в громаді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школи/садочки доступні для дітей з порушеннями опорно-рухового апарату.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жоден заклад освіти не пристосований (відсутні пандуси, підйомники, широкі проходи)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окремі школи/садочки частково адаптовані, проте без системного підходу (менше 25%)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закладів освіти мають часткові адаптації, проте без системного підходу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можливими є також випадки, при яких алаптації не завжди відповідають вимогам або не підтримуються у справному стані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закладів освіти доступні для дітей з порушеннями ОРА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можливими є також випадки при яких можуть бути недоопрацьовані окремі елементи або незручна організація простору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закладів адаптовано комплексно (пандуси, підйомники, широкі проходи, доступні санвузли, наявна певна організація простору)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всі адаптації справні, ремонт та оновлення відбувається без затримок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закладів забезпечено відповідною інфраструктурою, простір закладу логічно зоновано з урахуванням принципів універсального дизайну та розумного пристосування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при ремонтах і реконструкціях враховуються потреби всіх дітей з ООП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доступності шкіл/садочів для дітей з порушеннями опорно-рухового апарату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наявне кадрове забезпечення для навчання дітей з ООП. </w:t>
            </w:r>
            <w:r w:rsidR="00F32940" w:rsidRPr="0030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кадрове забезпечення  для реалізації інклюзивного навчання відсутнє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необхідними кадрами на рівні 25%  (наприклад, лище в окремих випадках призначено асистента дитини)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79274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частково забезпечені кадрами (понад 25%) (напрклад, спостерігається нестача асистентів вчителя та дитини, велика плинність кадрів)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заклади освіти забезпечені кадрами на рівні понад 50% (напрклад, системна робота ведеться, але потребує розширення: не всі діти з ООП забезпечені супроводом)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кадрове забезпечення підтримується на рівні понад 75% (педагоги проходять навчання, є підтримка ІРЦ,  висока кадрова стабільність)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заклади на 100% кадрово забезпечений (напркилад,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кадрового забезпечення для навчання дітей з ООП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закладах освіти громади забезпечено дистанційну форму здобуття освіти. </w:t>
            </w:r>
            <w:r w:rsidR="00F32940" w:rsidRPr="0030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відсутній будь-який доступ до дистанційного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 закладах освіти відсутня технічна та/або організаційна можливість організації дистанційного навчання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дистанційна освіта доступна лише вибірково (менше 25% учнів громади)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можливим є варіант, коли відсутня технічна підтримка з боку закладу освіти 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здобувачів мають можливість навчатися дистанційно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враховано потреби окремих груп, але відсутня універсальність рішень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50% учнів мають стабільний доступ до дистанційної форми освіти.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дистанційна освіта доступна переважно всім здобувачам освіти (понад 75%)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 організації дистанційного навчання враховано потреби дітей з ООП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дистанційна освіта доступна всім учням без виключення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забезпечено цифрову доступність, технічну підтримку, адаптацію матеріалів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забезпечення дистанційною освітою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відсутні випадки неохоплення загальною середньою освітою дітей шкільного віку.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випадки наявні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б)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випадки відсутні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D977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866B21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підтвредження відсутності випадків неохоплення загальною середньою освітою дітей шкільного віку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громаді вживаються заходи у випадку неохоплення загальною середньою освітою дітей шкільного віку.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діти, не охоплені шкільним начанням, не повертаються до навчання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жодних заходів не вживається або заходи виявляюються неефективними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дітей,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проводяться рідко,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 фрагментарно, проте без системності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не охоплених шкільним начанням,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заходи вживаються, проте можуть бути затримки чи прогалини в координації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д)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не охоплених шкільним начанням,  повертаються до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 наявний чіткий алгоритм реагування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вживаються своєчасні та ефективні заходи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поверення до навчання дітей, не охоплених шкільним начанням, за результатами вжитих заходів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наявні програми неформальної освіти, доступні всім охочим.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6D14F2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наявності програм неформальної освіти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0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5. Суспільна безбар’єрність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не толеруються прояви дискримінації та діють ініціативи задля попередження дискримінації.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відсутні будь-які ініціативи, програми чи заходи щодо протидії дискримінації на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також можуть бути ситуації, коли зафіксовано випадки дискримінації, на які відсутнє реагування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реалізовано не більше 1 ініціативи, програми чи заходу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відсутній інтерес або ініціатива з боку ОМС чи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є вибірковим або несвоєчасним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в громаді проведено 2-3 ініціативи, програми чи заходи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також можуть бути випадки, коли ініціативи реалізовуються переважно НУО  без підтримки місцевої влади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як правило, реагування на випадки дискримінації відбувається, проте воно несистемне</w:t>
            </w:r>
          </w:p>
        </w:tc>
      </w:tr>
      <w:tr w:rsidR="00FC2EB4" w:rsidRPr="00FC2EB4" w:rsidTr="00402B0B">
        <w:trPr>
          <w:trHeight w:val="742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г)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протягом року реалізовано 4-5 ініціатив, програм чи заходиів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 xml:space="preserve">– як правило, під час реалізації ініціатив організовано взаємодію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ОМС з громадськими організаціями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як правило, в громаді розроблено систему реагування на прояви дискримінації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реалізується щонайменше 6–9  ініціатив, програм чи заходів з протидії дискримінації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в громаді розроблено систему реагування на прояви дискримінації та її попередження 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діє понад 10 ініціатив, програм чи заходів з протидії дискримінації на рік, що охоплюють різні аудиторії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функціонує комплексна система регування на випалки дискримінації та протидії їй ( втому числі підтримка постраждалих)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Працівники органів місцевого самоврядування громади пройшли навчання на тему безбар’єрності та інклюзії.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працівники ОМС не проходили відповідне навчання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не проводилося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менше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епізодичне, без системного охоплення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точково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25%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навчання організовано з базових питань інклюзії та проводиться щороку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результати навчання поступово інтегруються в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50%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понад 75%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плановість та системність у провденні щорічних начань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100% працівників пройшли навчання за рік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навчання є обов’язковим елементом щорічного підвищення кваліфікації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тематика безбар’єрності інтегрована у роботу ОМС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розрахунку відсотків працівників, що пройшли відповідне навчання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на теми прав людини і рівних можливостей.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у громаді не проводяться заходи на теми прав людини і рівних можливостей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випадку, коли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не більше 1 заходу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відсутній інтерес або ініціатива з боку ОМС чи громади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проведено 2–3 заходи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Середній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реалізовано 4–5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частково залучені різні групи населення та представники ОМС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рівня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організовано 6–9 подій на рік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правилои, заходи реалізуються за активної участі ОМС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щорічно проводиться понад 10 тематичних заходів з прав людини і рівних можливостей– місцева влада є активним учасником або ініціатором заходів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охоплено різні аудиторії: молодь, освітяни, працівники ОМС, жінки, люди з інвалідністю тощо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тема є інтегрованою у культурні, освітні та інформаційні політики громади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підтвредження кількості проведених заходів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та культурні події, важливі для різних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не більше 1-го заходу та культурної події, важливої для різних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випалки, коли доступність або інклюзивність такого заходу та події є недостатньою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також можуть бути випадки, коли доступність або інклюзивність таких заходів та подій є недостатньою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4–5 заходів чи культурних подій,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перважно враховують потреби відвідувачів у доступності та безбар’єрності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д) </w:t>
            </w:r>
            <w:r w:rsidR="00FC2EB4" w:rsidRPr="006D14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вище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протягом року проводиться 6–9 заходів чи культурних подій щороку, важливих для різних суспільних груп населення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протягом року продиться понад 10 заходів та культурних подій щорічно, важливих для різних суспільних груп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події адаптовано до потреб маломобільних осіб, сімей з дітьми, ветеранів, молоді тощо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кількості проведених заходів та культурних подій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300E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hyperlink r:id="rId8" w:history="1">
              <w:r w:rsidR="00300E79" w:rsidRPr="00BC2573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https://illintsi-mrada.gov.ua/news/354049-v-illinciax-vidbuvsia-pamiatnii-zabig-na-cest-zaxisnikiv-ukrayini-iaki-zaginuli-zaxishhaiuci-nezaleznist-suverenitet-i-ter</w:t>
              </w:r>
            </w:hyperlink>
            <w:r w:rsidR="00300E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-   </w:t>
            </w:r>
            <w:hyperlink r:id="rId9" w:history="1">
              <w:r w:rsidR="00300E79" w:rsidRPr="00BC2573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https://illintsi-mrada.gov.ua/news/339729-poki-ia-cekaiu-ti-zivii-v-illinciax-prolunali-dzvoni-nadiyi-za-zniklimi-ta-polonenimi-zaxisnikami-ta-zaxisniciami-ukrayini</w:t>
              </w:r>
            </w:hyperlink>
            <w:r w:rsidR="00300E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hyperlink r:id="rId10" w:history="1">
              <w:r w:rsidR="00300E79" w:rsidRPr="00BC2573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https://illintsi-mrada.gov.ua/news/249252-veterani-nasoyi-gromadi-ucasniki-sportivnix-igor-sered-veteraniv-viini-nezlamni-vinniccini-2025</w:t>
              </w:r>
            </w:hyperlink>
            <w:r w:rsidR="00300E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місця для вільного зібрання мешканців  (зокрема соціальні клуби, паркові зони, коворкінги, центри громадської участі, ветеранські хаби, бібліотеки тощо).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місця для зібрань майже відсутні або існують формально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10% на кожні 10 тис. наслення громади має доступ до таких просторів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 не забезпечена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менше 25% на кожні 10 тис. населення громади має доступ до місць для вільного зібрання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наявні лише поодинокі об’єкти, які не охоплюють основні групи населення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забезпечена часткова достпність таких просторів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25% на кожні 10 тис. мешканців громади мають доступ до таких місць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інфраструктура фрагментарна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прааивло, деякі простори не відповідають базовим умовам доступності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г)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Середній рівень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 понад 50% 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протори не рівномірно розподілені між населеними пунктами громади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наявна базова доступність </w:t>
            </w:r>
          </w:p>
        </w:tc>
      </w:tr>
      <w:tr w:rsidR="00FC2EB4" w:rsidRPr="00FC2EB4" w:rsidTr="00D977A6">
        <w:trPr>
          <w:trHeight w:val="132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Рівень вище середнього 4 бали)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на кожні 10 тис. мешканців громади  мають доступ до місць для зібрань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як правило, є різноманітні формати локацій (від бібліотек до відкритих просторів), адаптовані під різні групи населення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забезпечено комплексну доступність</w:t>
            </w:r>
          </w:p>
        </w:tc>
      </w:tr>
      <w:tr w:rsidR="00FC2EB4" w:rsidRPr="00FC2EB4" w:rsidTr="00D977A6">
        <w:trPr>
          <w:trHeight w:val="133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 на кожні 10 тис. мешканців громади мають доступ до зручних місць для зібрань у межах пішої доступності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мережа просторів різноманітна, охоплює інтереси й потреби різних вікових, соціальних і суспільних груп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підтвредження розрахунку відсотків забезпечення населення громади (на кожні 10 000) місць для вільного зібрання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1" w:history="1">
              <w:r w:rsidR="00300E79" w:rsidRPr="00BC2573">
                <w:rPr>
                  <w:rStyle w:val="a8"/>
                  <w:rFonts w:ascii="Times New Roman" w:eastAsia="Times New Roman" w:hAnsi="Times New Roman" w:cs="Times New Roman"/>
                  <w:i/>
                  <w:sz w:val="24"/>
                  <w:szCs w:val="24"/>
                  <w:lang w:val="ru-RU"/>
                </w:rPr>
                <w:t>https://illintsi-mrada.gov.ua/news/354049-v-illinciax-vidbuvsia-pamiatnii-zabig-na-cest-zaxisnikiv-ukrayini-iaki-zaginuli-zaxishhaiuci-nezaleznist-suverenitet-i-ter</w:t>
              </w:r>
            </w:hyperlink>
            <w:r w:rsidR="00300E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наявні ініціативи, що підтримують міжпоколіннєвий або міжкультурний діалог та обмін досвідом.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а)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у громаді не проводяться заходи чи ініціативи, спрямовані на діалог між поколіннями або культурами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br/>
              <w:t>– відсутні можливості для взаємодії людей різного віку, походження чи досвіду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реалізовано не більше 1 ініціативи на рік,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не залучено більше однієї групи (наприклад, лише молодь)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2-3 ініціативи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4–5 ініціатив щороку, що об’єднують молодь та людей старшого віку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залучено декілька груп (наприклад, молодь та особи старшого віку)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6–9 регулярних ініціатив у партнерстві з ОМС або за її підтримки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реалізується понад 10 ініціатив або програм щорічно, що охоплюють міжпоколіннєвий та міжкультурний обмін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міжпоколіннєвий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кількості наявних ініціатив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D977A6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6. Інклюзивні послуги та сервіси 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повністю відсутній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менше, ніж 25% основних послуг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25 %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можуть бути випадки, коли сервіс працює нестабільно або незручно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50%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онлайн-запис доступний для понад 75% послуг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правило,ервіси працюють та їхгій інтерфейс враховує потреби осіб з інвалідністю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послуг мають онлайн-запис або запис через додатки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сервіси є доступними, зручними, адаптованими для різних суспільних груп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розрахунку відсотків послуг, для яких доступним є запис онлайн або з використанням спеціальних додатків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сервіси/послуги/події дублюється шрифтом Брайля, жестовою мовою, простою (спрощеною) мовою та доступна в онлайн форматі.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інформація не дублюється жодним альтернативним способом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альтернативне дублювання охоплює менше 25% ключової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реалізується несистемно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дублювання альтернативним способом здійснюється для понад 25% інформації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присутні лише окремі формати (наприклад, онлайн або жестова мова)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 понад 50% інформації дублюється альтернативним способом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праивло, використовуються щонайменше два альтернативні формати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понад 75% інформації дублюється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100% інформації дублюється у доступних форматах: Брайль, жестова мова, проста (спрощена) мова, онлайн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використовується багатоканальне інформування</w:t>
            </w:r>
          </w:p>
        </w:tc>
      </w:tr>
      <w:tr w:rsidR="00FC2EB4" w:rsidRPr="00D977A6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Брайля, жестовою мовою, спрощеною мовою або онлайн 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інформація про послуги є доступною в зручних форматах.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інформацію про жодну послугу не можна отримати у зручному форматі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300E79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так, інформацію про окремі послуги можна отримати у зручному форматі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інформація про послуги регулярно оновлюється і є доступною в зручних форматах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послуги надаються дистанційно (телефоном, онлайн), якщо це необхідно.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ні, відсутня можливість отримати жодну послугу дистанційно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300E79" w:rsidRDefault="00402B0B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так, є можливість отримати окремі види послуг дистанційно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послуги надаються також дистанційно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надається послуга перекладача жестової мови або супроводу за запитом.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наявна можливість отримати супровід або допомогу при оформленні документів.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оформленні документів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віддалених районах громади надається мобільна допомога/виїзні бригади медичних або соціальних працівників.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D977A6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D977A6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мобільна допомога або виїзні бригади взагалі не функціонують</w:t>
            </w:r>
            <w:r w:rsidR="00FC2EB4" w:rsidRP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відсутня реакція на виклики або виклики ігноруються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рідко: менше ніж 1 раз на місяць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виклики часто залишаються без реагування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– виїзди здійснюються не рідше 1 раз на місяць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не завжди доїжджають до всіх заявлених локацій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здійснюються не рідше 1 разу на 2 тижні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можливі випадки, коли бригади доїзжджають із затримками</w:t>
            </w:r>
          </w:p>
        </w:tc>
      </w:tr>
      <w:tr w:rsidR="00FC2EB4" w:rsidRPr="00FC2EB4" w:rsidTr="00D977A6">
        <w:trPr>
          <w:trHeight w:val="99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бригади здійснюють виїзди щотижня або частіше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як правило, є чіткий графік виїздів та можливість реагування на екстрені запити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доступності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виїзди відбуваються регулярно та за потреби, включаючи екстрені виклики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– забезпечено оперативне реагування протягом 24 годин після звернення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районах громади</w:t>
            </w:r>
            <w:r w:rsidR="00866B2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__________________ (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посилання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="00866B21" w:rsidRPr="00ED13A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звіт</w:t>
            </w:r>
            <w:r w:rsidR="00866B21" w:rsidRPr="00091D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7. Цифрова безбар'єрність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Громада має сайт або онлайн-портал, доступний для людей з порушенням зору/слуху.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посилання на такий </w:t>
            </w:r>
            <w:r w:rsid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веб</w:t>
            </w: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сайт або онлайн-портал у Вашій громаді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можна оформити необхідні документи онлайн без необхідності відвідування адміністративних будівель особисто.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онлайн-ресурс або документальне підтвердження такого функціоналу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такий додаток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електронних публічних послуг.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 ресурс з безбар’єрним доступом до електронних публічних послуг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публічної інформації органів владних повноважень.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з безбар’єрним доступом до публічної інформації органів владних повноважень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54DD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 гром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аді для різних сусіпльних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забезпечено безбар’єрний доступ до аудіовізуальних та друкованих медіа.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Відповідь, будь ласка, оберіть із поданих нижче варіантів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посилання на онлайн-ресурс або ж документальне підтвердження безбар’єрного доступу до аудіовізуальних та друкованих медіа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69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сусіпльних груп забезпечено безбар’єрний доступ до швидкісного інтернету.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швидкісного інтернету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в)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Рівень нижче середнього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безбар'єрним доступом до швидкісного інтернету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забезпечено безбар'єрним доступом до швидкісного інтернету понад 75%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забезпечено безбар'єрним доступом до швидкісного інтернету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забезпечення безбар’єрного доступу до швидкісного інтернету різних суспільних груп Вашої громади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для різних суспільних груп забезпечено безбар’єрний доступ до отримання цифрових знань та навичок.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відсутнє забезпечення безбар’єрним доступом до отримання цифрових знань та навичок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менше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25%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50%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понад 75%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забезпечено безбар’єрним доступом до отримання цифрових знань та навичок 100% мешканців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 документальне підтвердження забезпечення мешканців Вашої громади безбар’єрним доступом до отримання цифрових знань та навичок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проводяться заходи із підвищення цифрової грамотності різних суспільних груп мешканців (протягом року).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а)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Не забезпечено належний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заходи із підвищення цифрової грамотності для мешканців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Низький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захід із підвищення цифрової грамотності для мешканці на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заходи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10 і більше заходів із підвищення цифрової грамотності для мешканці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Надайте,будь ласка, документальне підтвердження проведених заходів із підвищення цифрової грамотності для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noWrap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C2EB4" w:rsidRPr="00FC2EB4" w:rsidTr="00F50873">
        <w:trPr>
          <w:trHeight w:val="345"/>
        </w:trPr>
        <w:tc>
          <w:tcPr>
            <w:tcW w:w="9766" w:type="dxa"/>
            <w:gridSpan w:val="2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8. Економічна безбар'єрність</w:t>
            </w:r>
          </w:p>
        </w:tc>
      </w:tr>
      <w:tr w:rsidR="00FC2EB4" w:rsidRPr="00FC2EB4" w:rsidTr="00D977A6">
        <w:trPr>
          <w:trHeight w:val="330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враховуються потреби осіб з інвалідністю при працевлаштуванні у структурах органів місцевого самоврядування.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 самоврядування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звіт)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допомоги у працевлаштуванні осіб з інвалідністю.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 наявні програми підтримки місцевого бізнесу або самозайнятості, зокрема для підтримки різних суспільних груп громади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A67F90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таких програм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 на програми)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В межах громади або поблизу забезпечено наявність філії чинної служби зайнятості.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A67F90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A67F90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наявності філії чинної служби зайнятості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</w:t>
            </w:r>
            <w:r w:rsidR="00F32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Виберіть один з варіантів відповіді: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 забезпечено належний рівень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A67F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 xml:space="preserve">б) </w:t>
            </w:r>
            <w:r w:rsidR="00FC2EB4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/>
              </w:rPr>
              <w:t>Низький рівень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1 вищевказаний освітній захід забезпечений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нижче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2-3 вищевказані освітні заходи забезпечені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Середній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4-5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60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Рівень вище середнього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- у громаді проводиться 6-9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402B0B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е)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Високий рівень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C2EB4"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D977A6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Надайте, будь ласка, документальне підтвердження кількості проведених заходів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У громаді забезпечено доступ та інформування щодо наявних програм отримання грантів/субсидій для працевлаштування різних суспільних груп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 xml:space="preserve">населення (особи старшого віку, ВПО, особи з інвалідністю).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так </w:t>
            </w:r>
            <w:r w:rsidR="00D977A6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100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D977A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 xml:space="preserve"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віку, ВПО, особи з інвалідністю) 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62" w:type="dxa"/>
            <w:hideMark/>
          </w:tcPr>
          <w:p w:rsidR="00FC2EB4" w:rsidRPr="00FC2EB4" w:rsidRDefault="00FC2EB4" w:rsidP="00A67F9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доступні високоякісні робочі місця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A67F90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документальне підтвердження наявних доступних високоякісних робочих місць для різних суспільних груп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надаються мікрокредити та/або інша підтримка підприємництва для різних суспільних груп населення. </w:t>
            </w: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300E79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ні </w:t>
            </w:r>
            <w:r w:rsidR="00A67F90" w:rsidRPr="00300E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Надайте, будь ласка, документальне підтвердження надання мікрокредитів та/або іншої пітримки підприємництва різним суспільним групам мешканців Вашої громади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______________ (посилання)</w:t>
            </w:r>
          </w:p>
        </w:tc>
      </w:tr>
      <w:tr w:rsidR="00FC2EB4" w:rsidRPr="00FC2EB4" w:rsidTr="00D977A6">
        <w:trPr>
          <w:trHeight w:val="315"/>
        </w:trPr>
        <w:tc>
          <w:tcPr>
            <w:tcW w:w="704" w:type="dxa"/>
            <w:vMerge w:val="restart"/>
            <w:noWrap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FC2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У громаді діють програми підтримки жінок-підприємиць. Відповідь, будь ласка, оберіть із поданих нижче </w:t>
            </w:r>
            <w:r w:rsidR="00F54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варіантів: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ні </w:t>
            </w:r>
            <w:r w:rsidR="00A67F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345"/>
        </w:trPr>
        <w:tc>
          <w:tcPr>
            <w:tcW w:w="704" w:type="dxa"/>
            <w:vMerge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FC2EB4" w:rsidRDefault="00FC2EB4" w:rsidP="00FC2E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так </w:t>
            </w:r>
            <w:r w:rsidR="00D97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C2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FC2EB4" w:rsidRPr="00FC2EB4" w:rsidTr="00D977A6">
        <w:trPr>
          <w:trHeight w:val="675"/>
        </w:trPr>
        <w:tc>
          <w:tcPr>
            <w:tcW w:w="704" w:type="dxa"/>
            <w:hideMark/>
          </w:tcPr>
          <w:p w:rsidR="00FC2EB4" w:rsidRPr="00FC2EB4" w:rsidRDefault="00FC2EB4" w:rsidP="00FC2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62" w:type="dxa"/>
            <w:hideMark/>
          </w:tcPr>
          <w:p w:rsidR="00FC2EB4" w:rsidRPr="00D977A6" w:rsidRDefault="00FC2EB4" w:rsidP="00FC2EB4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D977A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Надайте, будь ласка, перелік програм підтримки жінок-підприємиць у Вашій громаді</w:t>
            </w:r>
            <w:r w:rsidR="00A67F9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___________ (посилання на перелік програм)</w:t>
            </w:r>
          </w:p>
        </w:tc>
      </w:tr>
    </w:tbl>
    <w:p w:rsidR="00FC2EB4" w:rsidRDefault="00FC2EB4" w:rsidP="00FC2E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F90" w:rsidRPr="00D977A6" w:rsidRDefault="00D977A6" w:rsidP="00A67F90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00E79" w:rsidRPr="00300E79">
        <w:rPr>
          <w:rFonts w:ascii="Times New Roman" w:hAnsi="Times New Roman" w:cs="Times New Roman"/>
          <w:sz w:val="28"/>
          <w:szCs w:val="28"/>
          <w:u w:val="single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0624A" w:rsidRPr="0070624A">
        <w:rPr>
          <w:rFonts w:ascii="Times New Roman" w:hAnsi="Times New Roman" w:cs="Times New Roman"/>
          <w:sz w:val="28"/>
          <w:szCs w:val="28"/>
          <w:u w:val="single"/>
        </w:rPr>
        <w:t>вересня</w:t>
      </w:r>
      <w:r w:rsidR="0070624A">
        <w:rPr>
          <w:rFonts w:ascii="Times New Roman" w:hAnsi="Times New Roman" w:cs="Times New Roman"/>
          <w:sz w:val="28"/>
          <w:szCs w:val="28"/>
        </w:rPr>
        <w:t xml:space="preserve"> </w:t>
      </w:r>
      <w:r w:rsidRPr="0070624A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70624A" w:rsidRPr="0070624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70624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67F9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D977A6" w:rsidRPr="00D977A6" w:rsidRDefault="00D977A6" w:rsidP="00D977A6">
      <w:pPr>
        <w:spacing w:after="0"/>
        <w:ind w:left="6663"/>
        <w:rPr>
          <w:rFonts w:ascii="Times New Roman" w:hAnsi="Times New Roman" w:cs="Times New Roman"/>
          <w:sz w:val="18"/>
          <w:szCs w:val="18"/>
        </w:rPr>
      </w:pPr>
    </w:p>
    <w:sectPr w:rsidR="00D977A6" w:rsidRPr="00D977A6" w:rsidSect="00A67F90">
      <w:headerReference w:type="default" r:id="rId12"/>
      <w:pgSz w:w="12240" w:h="15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8D0" w:rsidRDefault="007C58D0" w:rsidP="00A67F90">
      <w:pPr>
        <w:spacing w:after="0" w:line="240" w:lineRule="auto"/>
      </w:pPr>
      <w:r>
        <w:separator/>
      </w:r>
    </w:p>
  </w:endnote>
  <w:endnote w:type="continuationSeparator" w:id="0">
    <w:p w:rsidR="007C58D0" w:rsidRDefault="007C58D0" w:rsidP="00A6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8D0" w:rsidRDefault="007C58D0" w:rsidP="00A67F90">
      <w:pPr>
        <w:spacing w:after="0" w:line="240" w:lineRule="auto"/>
      </w:pPr>
      <w:r>
        <w:separator/>
      </w:r>
    </w:p>
  </w:footnote>
  <w:footnote w:type="continuationSeparator" w:id="0">
    <w:p w:rsidR="007C58D0" w:rsidRDefault="007C58D0" w:rsidP="00A6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775670992"/>
      <w:docPartObj>
        <w:docPartGallery w:val="Page Numbers (Top of Page)"/>
        <w:docPartUnique/>
      </w:docPartObj>
    </w:sdtPr>
    <w:sdtEndPr/>
    <w:sdtContent>
      <w:p w:rsidR="00E97CAA" w:rsidRPr="00A67F90" w:rsidRDefault="00E97CAA">
        <w:pPr>
          <w:pStyle w:val="a4"/>
          <w:jc w:val="center"/>
          <w:rPr>
            <w:rFonts w:ascii="Times New Roman" w:hAnsi="Times New Roman" w:cs="Times New Roman"/>
          </w:rPr>
        </w:pPr>
        <w:r w:rsidRPr="00A67F90">
          <w:rPr>
            <w:rFonts w:ascii="Times New Roman" w:hAnsi="Times New Roman" w:cs="Times New Roman"/>
          </w:rPr>
          <w:fldChar w:fldCharType="begin"/>
        </w:r>
        <w:r w:rsidRPr="00A67F90">
          <w:rPr>
            <w:rFonts w:ascii="Times New Roman" w:hAnsi="Times New Roman" w:cs="Times New Roman"/>
          </w:rPr>
          <w:instrText>PAGE   \* MERGEFORMAT</w:instrText>
        </w:r>
        <w:r w:rsidRPr="00A67F90">
          <w:rPr>
            <w:rFonts w:ascii="Times New Roman" w:hAnsi="Times New Roman" w:cs="Times New Roman"/>
          </w:rPr>
          <w:fldChar w:fldCharType="separate"/>
        </w:r>
        <w:r w:rsidR="00A9278C" w:rsidRPr="00A9278C">
          <w:rPr>
            <w:rFonts w:ascii="Times New Roman" w:hAnsi="Times New Roman" w:cs="Times New Roman"/>
            <w:noProof/>
            <w:lang w:val="ru-RU"/>
          </w:rPr>
          <w:t>38</w:t>
        </w:r>
        <w:r w:rsidRPr="00A67F90">
          <w:rPr>
            <w:rFonts w:ascii="Times New Roman" w:hAnsi="Times New Roman" w:cs="Times New Roman"/>
          </w:rPr>
          <w:fldChar w:fldCharType="end"/>
        </w:r>
      </w:p>
    </w:sdtContent>
  </w:sdt>
  <w:p w:rsidR="00E97CAA" w:rsidRDefault="00E97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B4"/>
    <w:rsid w:val="00013116"/>
    <w:rsid w:val="000138C6"/>
    <w:rsid w:val="00091DAD"/>
    <w:rsid w:val="000D4337"/>
    <w:rsid w:val="00182251"/>
    <w:rsid w:val="002A08BD"/>
    <w:rsid w:val="00300E79"/>
    <w:rsid w:val="00305539"/>
    <w:rsid w:val="003B7B00"/>
    <w:rsid w:val="00402B0B"/>
    <w:rsid w:val="00441971"/>
    <w:rsid w:val="004B0966"/>
    <w:rsid w:val="00621A47"/>
    <w:rsid w:val="006D14F2"/>
    <w:rsid w:val="0070624A"/>
    <w:rsid w:val="0079274B"/>
    <w:rsid w:val="007C58D0"/>
    <w:rsid w:val="008526A6"/>
    <w:rsid w:val="00866B21"/>
    <w:rsid w:val="00912191"/>
    <w:rsid w:val="00A67F90"/>
    <w:rsid w:val="00A9278C"/>
    <w:rsid w:val="00B20385"/>
    <w:rsid w:val="00B42F07"/>
    <w:rsid w:val="00D82CF6"/>
    <w:rsid w:val="00D977A6"/>
    <w:rsid w:val="00E84C37"/>
    <w:rsid w:val="00E97CAA"/>
    <w:rsid w:val="00ED13A2"/>
    <w:rsid w:val="00F32940"/>
    <w:rsid w:val="00F50873"/>
    <w:rsid w:val="00F54DD4"/>
    <w:rsid w:val="00FC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300E7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0E7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2">
    <w:name w:val="Grid Table 1 Light Accent 2"/>
    <w:basedOn w:val="a1"/>
    <w:uiPriority w:val="46"/>
    <w:rsid w:val="00FC2EB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3">
    <w:name w:val="Table Grid"/>
    <w:basedOn w:val="a1"/>
    <w:uiPriority w:val="39"/>
    <w:rsid w:val="00F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F90"/>
    <w:rPr>
      <w:lang w:val="uk-UA"/>
    </w:rPr>
  </w:style>
  <w:style w:type="paragraph" w:styleId="a6">
    <w:name w:val="footer"/>
    <w:basedOn w:val="a"/>
    <w:link w:val="a7"/>
    <w:uiPriority w:val="99"/>
    <w:unhideWhenUsed/>
    <w:rsid w:val="00A67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F90"/>
    <w:rPr>
      <w:lang w:val="uk-UA"/>
    </w:rPr>
  </w:style>
  <w:style w:type="character" w:styleId="a8">
    <w:name w:val="Hyperlink"/>
    <w:basedOn w:val="a0"/>
    <w:uiPriority w:val="99"/>
    <w:unhideWhenUsed/>
    <w:rsid w:val="00300E7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0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0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lintsi-mrada.gov.ua/news/354049-v-illinciax-vidbuvsia-pamiatnii-zabig-na-cest-zaxisnikiv-ukrayini-iaki-zaginuli-zaxishhaiuci-nezaleznist-suverenitet-i-te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lintsi-mrada.gov.ua/news/354049-v-illinciax-vidbuvsia-pamiatnii-zabig-na-cest-zaxisnikiv-ukrayini-iaki-zaginuli-zaxishhaiuci-nezaleznist-suverenitet-i-t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llintsi-mrada.gov.ua/news/249252-veterani-nasoyi-gromadi-ucasniki-sportivnix-igor-sered-veteraniv-viini-nezlamni-vinniccini-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llintsi-mrada.gov.ua/news/339729-poki-ia-cekaiu-ti-zivii-v-illinciax-prolunali-dzvoni-nadiyi-za-zniklimi-ta-polonenimi-zaxisnikami-ta-zaxisniciami-ukrayin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DAD96-2196-4B24-915E-62B976C4F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11412</Words>
  <Characters>65053</Characters>
  <Application>Microsoft Office Word</Application>
  <DocSecurity>0</DocSecurity>
  <Lines>542</Lines>
  <Paragraphs>152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User</cp:lastModifiedBy>
  <cp:revision>3</cp:revision>
  <dcterms:created xsi:type="dcterms:W3CDTF">2026-09-14T13:33:00Z</dcterms:created>
  <dcterms:modified xsi:type="dcterms:W3CDTF">2026-09-21T07:19:00Z</dcterms:modified>
</cp:coreProperties>
</file>