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F07" w:rsidRPr="00A67F90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67F90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FC2EB4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Індекс безбар’єрності територіальної громади</w:t>
      </w:r>
    </w:p>
    <w:p w:rsidR="00D82CF6" w:rsidRPr="000A1631" w:rsidRDefault="000A1631" w:rsidP="000A163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0A1631">
        <w:rPr>
          <w:rFonts w:ascii="Times New Roman" w:hAnsi="Times New Roman" w:cs="Times New Roman"/>
          <w:b/>
          <w:sz w:val="28"/>
          <w:szCs w:val="28"/>
          <w:u w:val="single"/>
        </w:rPr>
        <w:t>Барської міської територіальної громади</w:t>
      </w:r>
    </w:p>
    <w:p w:rsidR="00A67F90" w:rsidRPr="000138C6" w:rsidRDefault="00D82CF6" w:rsidP="00B20385">
      <w:pPr>
        <w:jc w:val="center"/>
        <w:rPr>
          <w:rFonts w:ascii="Times New Roman" w:hAnsi="Times New Roman" w:cs="Times New Roman"/>
          <w:sz w:val="20"/>
          <w:szCs w:val="20"/>
        </w:rPr>
      </w:pPr>
      <w:r w:rsidRPr="000138C6">
        <w:rPr>
          <w:rFonts w:ascii="Times New Roman" w:hAnsi="Times New Roman" w:cs="Times New Roman"/>
          <w:sz w:val="20"/>
          <w:szCs w:val="20"/>
        </w:rPr>
        <w:t>(назва територіальної громади, область</w:t>
      </w:r>
      <w:r w:rsidR="000138C6">
        <w:rPr>
          <w:rFonts w:ascii="Times New Roman" w:hAnsi="Times New Roman" w:cs="Times New Roman"/>
          <w:sz w:val="20"/>
          <w:szCs w:val="20"/>
        </w:rPr>
        <w:t>/м. Київ</w:t>
      </w:r>
      <w:r w:rsidRPr="000138C6">
        <w:rPr>
          <w:rFonts w:ascii="Times New Roman" w:hAnsi="Times New Roman" w:cs="Times New Roman"/>
          <w:sz w:val="20"/>
          <w:szCs w:val="20"/>
        </w:rPr>
        <w:t>)</w:t>
      </w:r>
    </w:p>
    <w:p w:rsidR="00B20385" w:rsidRPr="00A67F90" w:rsidRDefault="00B20385" w:rsidP="00B2038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7F90">
        <w:rPr>
          <w:rFonts w:ascii="Times New Roman" w:hAnsi="Times New Roman" w:cs="Times New Roman"/>
          <w:i/>
          <w:sz w:val="24"/>
          <w:szCs w:val="24"/>
        </w:rPr>
        <w:t xml:space="preserve">Шановні представники </w:t>
      </w:r>
      <w:r w:rsidR="00A67F90">
        <w:rPr>
          <w:rFonts w:ascii="Times New Roman" w:hAnsi="Times New Roman" w:cs="Times New Roman"/>
          <w:i/>
          <w:sz w:val="24"/>
          <w:szCs w:val="24"/>
        </w:rPr>
        <w:t xml:space="preserve">територіальної </w:t>
      </w:r>
      <w:r w:rsidRPr="00A67F90">
        <w:rPr>
          <w:rFonts w:ascii="Times New Roman" w:hAnsi="Times New Roman" w:cs="Times New Roman"/>
          <w:i/>
          <w:sz w:val="24"/>
          <w:szCs w:val="24"/>
        </w:rPr>
        <w:t>громади!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З метою встановлення рівня доступності у вашій громаді просимо вас надати відповідь на наведені нижче запитання.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Звертаємо вашу увагу, що запитання сформульовані у вигляді тез, які вам потрібно: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1) або оцінити</w:t>
      </w:r>
      <w:r w:rsidR="00402B0B">
        <w:rPr>
          <w:rFonts w:ascii="Times New Roman" w:hAnsi="Times New Roman" w:cs="Times New Roman"/>
          <w:sz w:val="24"/>
          <w:szCs w:val="24"/>
        </w:rPr>
        <w:t xml:space="preserve"> та обрати із запропонованих</w:t>
      </w:r>
      <w:r w:rsidR="003B7B00">
        <w:rPr>
          <w:rFonts w:ascii="Times New Roman" w:hAnsi="Times New Roman" w:cs="Times New Roman"/>
          <w:sz w:val="24"/>
          <w:szCs w:val="24"/>
        </w:rPr>
        <w:t xml:space="preserve"> варіантів</w:t>
      </w:r>
      <w:r w:rsidR="00402B0B">
        <w:rPr>
          <w:rFonts w:ascii="Times New Roman" w:hAnsi="Times New Roman" w:cs="Times New Roman"/>
          <w:sz w:val="24"/>
          <w:szCs w:val="24"/>
        </w:rPr>
        <w:t xml:space="preserve"> рівень</w:t>
      </w:r>
      <w:r w:rsidR="00402B0B" w:rsidRPr="00A67F90">
        <w:rPr>
          <w:rFonts w:ascii="Times New Roman" w:hAnsi="Times New Roman" w:cs="Times New Roman"/>
          <w:sz w:val="24"/>
          <w:szCs w:val="24"/>
        </w:rPr>
        <w:t xml:space="preserve">, який найбільше відповідає реальній ситуації у громаді </w:t>
      </w:r>
      <w:r w:rsidRPr="00A67F90">
        <w:rPr>
          <w:rFonts w:ascii="Times New Roman" w:hAnsi="Times New Roman" w:cs="Times New Roman"/>
          <w:sz w:val="24"/>
          <w:szCs w:val="24"/>
        </w:rPr>
        <w:t>(кожен рівень описано орієнтовн</w:t>
      </w:r>
      <w:r w:rsidR="00402B0B">
        <w:rPr>
          <w:rFonts w:ascii="Times New Roman" w:hAnsi="Times New Roman" w:cs="Times New Roman"/>
          <w:sz w:val="24"/>
          <w:szCs w:val="24"/>
        </w:rPr>
        <w:t>ими альтернативними варіантами;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2) або погодитися чи спростувати відповідну тезу (надати відповідь “так” або “ні”).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Також звертаємо вашу увагу, що після кожного питання знаходиться примітка про документальне підтвердження щодо його змісту. Ви надаєте посилання на таку інформацію, за умови її наяності. Якщо інформамація відсутня - залишаєте поле пустим. Адже набільш точно обрати той чи інший рівень ви зможете лише у випадку, коли будете володіти необхідною інформацією, яку можна отримати із різних джерел за вашим вибором (звіти, результати опитування в громаді тощо)</w:t>
      </w:r>
    </w:p>
    <w:p w:rsidR="00B20385" w:rsidRPr="00FC2EB4" w:rsidRDefault="00B20385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062"/>
      </w:tblGrid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Фізична доступність просторів, адміністративних будівель та транспорту</w:t>
            </w:r>
          </w:p>
        </w:tc>
      </w:tr>
      <w:tr w:rsidR="00FC2EB4" w:rsidRPr="00FC2EB4" w:rsidTr="00D977A6">
        <w:trPr>
          <w:trHeight w:val="1080"/>
        </w:trPr>
        <w:tc>
          <w:tcPr>
            <w:tcW w:w="704" w:type="dxa"/>
            <w:vMerge w:val="restart"/>
            <w:noWrap/>
            <w:hideMark/>
          </w:tcPr>
          <w:p w:rsidR="00FC2EB4" w:rsidRPr="00B20385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0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моніторинг бар'єрів у публічному просторі (будівлі, тротуари, зупинки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ні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9B11DA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B11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так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звіт за результатами проведеного моніторингу наявних бар'єрів у Вашій громаді ___________________________  (посилання на звіт)</w:t>
            </w:r>
          </w:p>
        </w:tc>
      </w:tr>
      <w:tr w:rsidR="00FC2EB4" w:rsidRPr="00FC2EB4" w:rsidTr="00D977A6">
        <w:trPr>
          <w:trHeight w:val="97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402B0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Громадський тра</w:t>
            </w:r>
            <w:r w:rsidR="00402B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спорт доступний для людей з порушеннями функціонування та інших маломобільних груп населення.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транспорт не пристосований для потреб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(пандуси, низька підлога, фіксатори крісел колісних тощо)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пристосовані лише окремі одиниці транспорту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доступність носить фрагментарний характер (наприклад, на маршруті лише 1-2 автобуси мають фіксатори для крісел колісних та низьку підлогу)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відповідні адаптації в переважній більшості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6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016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proofErr w:type="gramStart"/>
            <w:r w:rsidR="00FC2EB4" w:rsidRPr="00016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016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FC2EB4" w:rsidRPr="00016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25–50% транспорту має базові пристосування (також, наприклад, доступний транспорт є на окремих маршрутах або в певні години, але без охоплення більшості)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відсутній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досить часто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698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половину (понад 50%) транспортних засобів базово пристосовано для маломобільних осіб (наприклад, 6 із 10 автобусів мають пандуси, кнопки виклику водія, місця для крісел колісних)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системний підхід до оновлення та використання доступного транспорту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деякі адаптації можуть бути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Вище середнього рівня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транспорту (понад 75%) має комплексне обладнання для маломобільних груп (наприклад, 9 із 10 автобусів мають пандуси, кнопки виклику водія, місця для крісел колісних; (пандуси, низька підлога, фіксатори крісел колісних, аудіо/візуальна навігація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окремі пристосування можуть мати незначні пошкодження, однак громада забезпечує їх оперативне виявлення, ремонт або заміну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увесь (100%) транспорт на маршруті або в мережі відповідає вимогам доступності (наприклад, усі 10 з 10 автобусів мають комплексні пристосування)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системну та стійку доступність на рівні інфраструктури, навчання водіїв та технічного обслуговування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обслуговування.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документальне підтвердження доступності громадського траспорту для осіб з порушеннями функціонування та інших маломобільних груп населення (зокрема, розрахунку відсотків) __________________ (посилання на звіт)</w:t>
            </w:r>
          </w:p>
        </w:tc>
      </w:tr>
      <w:tr w:rsidR="00FC2EB4" w:rsidRPr="00FC2EB4" w:rsidTr="00D977A6">
        <w:trPr>
          <w:trHeight w:val="103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зручними лавками, пішохідними доріжками з рівним покриттям, доступними туалетами, паркувальними місцями з елементами доступності.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FC2EB4" w:rsidRPr="00FC2EB4" w:rsidTr="00D977A6">
        <w:trPr>
          <w:trHeight w:val="232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 громадських зонах відсутні або повністю недоступні: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лавки (наприклад, немає або незручні для осіб з порушенням функціонування),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доступні туалети (наприклад, жодного громадського туалету з безбар’єрним входом),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рівні пішохідні доріжки (напркилад, наявне ґрунтове або вибоїсте покриття),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паркувальні місця з елементами доступності (наприклад, відсутні).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немає жодного простору, який би враховував потреби осіб з інвалідністю чи маломобільних груп населення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лише окремі об’єкти або зони (менше 25%) мають поодинокі елементи доступності (наприклад, наявні лише одна-дві зручні лавки на всі громадські простори; одна доступна вбиральня, решта – звичайні; паркомісця для осіб з інвалідністю або не позначені, або зайняті сторонніми авто; доріжки мають ділянки з небезпечними нерівностями)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більшість елементів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системний підхід до розміщення доступних рішень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громадських зон мають окремі елементи безбар’єрного облаштування (наприклад, частина зон має доступні доріжки або туалети, але без зв’язку між ними; лавки без підлокітників, вузькі проходи, немає зручної навігації)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окремі зони можуть бути пристосовані, але частково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якомучастина елементів досить часто 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231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16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г) </w:t>
            </w:r>
            <w:r w:rsidR="00FC2EB4" w:rsidRPr="00016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громадських зон мають базове облаштування для осіб з інвалідністю та інших маломобільних груп населення (наприклад, туалети із поручнями; лавки з підлокітниками;  рівні, тверді пішохідні доріжки;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перважана більшість адаптацій доглядаються і підтримуються у належному стані, проте деякі можуть бути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простори можуть бути також частково зоновані логічно (зручне розташування длстурних туалетів, лавок і паркомісць)</w:t>
            </w:r>
          </w:p>
        </w:tc>
      </w:tr>
      <w:tr w:rsidR="00FC2EB4" w:rsidRPr="00FC2EB4" w:rsidTr="00866B21">
        <w:trPr>
          <w:trHeight w:val="699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75% громадських зон у громаді облаштовано з урахуванням потреб осіб з інвалідністю та інших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наявні комплексні елементи доступності (наприклад, зручні лавки з підлокітниками, пандуси, доступні туалети, рівні, тверді пішохідні доріжки з достатньою шириною; марковані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як правило, розміщення елементів логічне та зручне: наприклад, зони комфорту (туалети, лавки, паркомісця) розміщено поруч одна з одною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більшість елементів є новими або відремонтованими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наявні незначні пошкодження/несправності окремих адаптацій, які вчасно ремонтуються/замінюються</w:t>
            </w:r>
          </w:p>
        </w:tc>
      </w:tr>
      <w:tr w:rsidR="00FC2EB4" w:rsidRPr="00FC2EB4" w:rsidTr="00D977A6">
        <w:trPr>
          <w:trHeight w:val="232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(100%) пристосовано до потреб осіб з інвалідністю та інших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облаштовано та зоновано з урахуванням принципів універсального дизайну та функціональних доступних рішень (всі зони мають комплексні, функціональні рішення, які охоплюють потреби людей з порушеннями зору, слуху, опорно-рухового апарату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доступність забезпечена на рівні навігації та зонування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наявна система моніторингу та технічного обслуговування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документальне підтвердження забезпечення зручними лавками, пішохідними доріжками з рівним покриттям, доступними туалетами, паркувальними місцями з елементами доступності громадських місць Вашої громади (зокрема, розрахунку відсотків)</w:t>
            </w:r>
            <w:r w:rsid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402B0B">
        <w:trPr>
          <w:trHeight w:val="507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0A163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Громадські</w:t>
            </w:r>
            <w:r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зони</w:t>
            </w:r>
            <w:r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забезпечено</w:t>
            </w:r>
            <w:r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освітленням</w:t>
            </w:r>
            <w:r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Виберіть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один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ідповіді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0A163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громадські простори не освітлюються в темний час доби або систематичне освітлення відсутнє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джерела освітлення наявні лише в окремих зонах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 є також варіант, при якому джерела освітлення в переважній більшості несправні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</w:t>
            </w:r>
            <w:r w:rsidR="003B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світлення наявні у понад 25% зон, однак розташовані можуть бути нерівномірно, поодиноко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освітлення може бути слабким, не освтілювати всі зони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091DAD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091DAD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більшості зон (понад 50%) забезпечено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джерела освітлення логічно розміщені та в переважній більшості є справними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освітленням забезпечено переважну більшість простору громадських зон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громадських зон (понад 75%) забезпечено якісним, рівномірним освітленням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освітлюються ключові маршрути переміщення, зони очікування, входи до публічних будівель, пішохідні доріжки та паркувальні місця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джерел освітлення знаходяться в справному стані, можуть мати незначні пошкодження, а у разі несправності - передбачено систему оперативного ремонту або заміни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громадські простори (100%) мають якісне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освітленням забезпечено всі маршрути громадських зон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наявність освітлення контролюєтьсяя та підтримується стабільна робота його джерел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функціонує механізм моніторингу роботи освітлення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забезпечення громадських зон Вашої громади освітленням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Зупинки громадського транспорту громади обладнані навісами, інформаційними табло та зонами очікування з елементами доступності.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наявні зупинки не мають жодного елементу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навіси, сидіння, інформація про маршрути.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обладнані лише окремі зупинки (менше 25%) або фрагменти зупинок (наприклад, наявні поодинокі навіси, сидіння; інформаційні табло або взагалі відсутні або часто не працюють)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доступними є понад 25% з наявних зупинок (напрклад, є навіси, місця для очікування, подекуди -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відсутня системність в облаштуванні зупинок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облаштування зупинок може бути частково пошкодженим або зношеним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091DAD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091DAD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понад 50% зупинок обладнані базовими елементами доступності (наприклад, наявні навіси, лавки, пандуси,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переважній більшості випадків враховані потреби маломобільних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бути наявні незначні пошкодження елементів облаштування, які вчасно ремонтуються/замінюються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зупинок у громаді обладнано елементами доступності (напркилад, навісами, лавками, пандусами, контрастною розміткою, справними інформаційними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потреби маломобільних груп населення враховано комплексно, у тому числі доступність простору для крісел колісних, людей з тростинами або дитячими візками.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елементи облаштування (сидіння, навіси тощо) підтримуються в належному стані, дрібні пошкодження або зношення вчасно усуваються.</w:t>
            </w:r>
          </w:p>
        </w:tc>
      </w:tr>
      <w:tr w:rsidR="00FC2EB4" w:rsidRPr="00FC2EB4" w:rsidTr="00D977A6">
        <w:trPr>
          <w:trHeight w:val="84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(100%) відповідають вимогам інклюзивності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враховано потреби всіх груп населення (наприклад, наявна система озвучування інформації з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бладнано комплексно: навіси, лавки, місця для крісел колісних, пандуси з поручнями, тактильна плитка, контрастна розмітка, інформаційні табло з візуальною та звуковою подачею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облаштування регулярно обслуговується, ремонтуються, оновлюються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функціонує стала система моніторингу, обслуговування і оновлення інфраструктури зупинок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обладнаних навісами зупинок громадського транспорту Вашої громади інформаційними табло та зонами очікування з елементами доступності (зокрема, розрахунку відсотків)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наявна відповідна розмітка, освітлення та маркування з елементами доступності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ішохідних переходів у місцях з високим трафіком.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відсутня будь-яка розмітка та/або освітлення на усіх пішохідних переходах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пішохідні переходи важко помітні та складні для орієнтації, особливо в темний час доби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відсутні будь-які елементами доступності пішохідних переходів у місцях з високим трафіком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пішохідних переходів мають стару, стерту або частково знищену розмітку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освітлення часто відсутнє або не працює взагалі (до 25% пішохідних переходів)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маркування для осіб з порушенням зору</w:t>
            </w:r>
          </w:p>
        </w:tc>
      </w:tr>
      <w:tr w:rsidR="00FC2EB4" w:rsidRPr="00FC2EB4" w:rsidTr="00F32940">
        <w:trPr>
          <w:trHeight w:val="742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переходів мають розмітку, що може бути частково стертою або нерівномірно нанесеною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понад 25% переходів мають базове освітлення, однак воно незабезпечує якісне освітлення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тактильні елементи або спеціальні маркування встановлено лише в окремих місцях без єдиного підходу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A163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г) </w:t>
            </w:r>
            <w:r w:rsidR="00FC2EB4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понад 50% переходів у зонах з високим трафіком облаштовано розміткою, маркуванням, освітленням</w:t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розмітка на більшості переходів (понад 50%) середнього рівня збереження, але частина з них потребує оновлення</w:t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впроваджено частковий підхід до врахування потреб маломобільних груп</w:t>
            </w:r>
          </w:p>
        </w:tc>
      </w:tr>
      <w:tr w:rsidR="00FC2EB4" w:rsidRPr="00FC2EB4" w:rsidTr="00D977A6">
        <w:trPr>
          <w:trHeight w:val="698"/>
        </w:trPr>
        <w:tc>
          <w:tcPr>
            <w:tcW w:w="704" w:type="dxa"/>
            <w:vMerge/>
            <w:hideMark/>
          </w:tcPr>
          <w:p w:rsidR="00FC2EB4" w:rsidRPr="000A163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A163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пішохідних переходів (понад 75%) у місцях з високим трафіком облаштовано з урахуванням потреб осіб з інвалідністю та маломобільних груп</w:t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наявне якісне освітлення, свіжа, чітка розмітка, а також тактильні елементи для орієнтації осіб з порушенням зору у понад 75%</w:t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првило, у разі пошкоджень або зношення елементів забезпечується їх своєчасне відновлення чи заміна</w:t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підхід до забезпечення доступності та оновлення пристосувань є системним</w:t>
            </w:r>
          </w:p>
        </w:tc>
      </w:tr>
      <w:tr w:rsidR="00FC2EB4" w:rsidRPr="00FC2EB4" w:rsidTr="00D977A6">
        <w:trPr>
          <w:trHeight w:val="1665"/>
        </w:trPr>
        <w:tc>
          <w:tcPr>
            <w:tcW w:w="704" w:type="dxa"/>
            <w:vMerge/>
            <w:hideMark/>
          </w:tcPr>
          <w:p w:rsidR="00FC2EB4" w:rsidRPr="000A163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A1631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091DAD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переходи (100%) в місцях із трафіком  відповідають вимогам інклюзивності та універсального дизайну</w:t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встановлено якісне освітлення, яскраву та оновлену розмітку, контрастні елементи, тактильну плитку, зручну навігацію</w:t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елементи підтримується в належному стані, ремонтуються, оновлюються без затримок</w:t>
            </w:r>
            <w:r w:rsidR="00FC2EB4" w:rsidRPr="000A1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доступність переходів враховується під час поточних ремонтів і реконструкцій дорожньої інфраструктури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0A1631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наявної відповідної розмітки, освітлення та маркування з елементами доступності пішохідних переходів у місцях з високим трафіком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ітлофори громади забезпечено елементами оповіщення для осіб з порушенням зору.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а) </w:t>
            </w:r>
            <w:r w:rsidR="00091DAD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усі світлофори не мають жодних елементів звукового оповіщення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орієнтація для осіб із порушенням зору є вркай ускладненою чи недоступною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жодних заходів щодо врахування інклюзивності на рівні світлофорної інфраструктури не передбачено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світлофорів (наприколад, лише 1–2 світлофори) мають звукове оповіщення, або вони часто не працюють або встановлені хаотично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розміщення таких пристроїв не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відсутня система обслуговування таких пристроїв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світлофорів мають звукове оповіщення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досить часто неузгоджені або несправні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як правило, розміщення таких пристроїв частково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можливим є також варіант, при якому роботи з  обслуговування таких пристроїв проводяться епізодично</w:t>
            </w:r>
          </w:p>
        </w:tc>
      </w:tr>
      <w:tr w:rsidR="00FC2EB4" w:rsidRPr="00FC2EB4" w:rsidTr="00D977A6">
        <w:trPr>
          <w:trHeight w:val="231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розміщення таких пристроїв надано у районах з інтенсивним трафіком та пішохідним маршрутам загального користування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частина систем може бути несправною або працювати нестабільно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ремонт здійснюється переважно за зверненнями громадян, а не на основі регулярного моніторингу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надано зонам з інтенсивним рухом, поруч із громадськими установами, школами та зупинками транспорту.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усі елементи змонтовані з урахуванням просторової логіки руху пішоходів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 разі несправностей або пошкоджень вживаються оперативні заходи щодо ремонту чи заміни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світлофори (100%) 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відповідні системи перевіряються й обслуговуються регулярно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звукові сигнали мають регульовану гучність відповідно до рівня шуму в навколишньому середовищі (адаптивна система)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впроваджено систему планового технічного обслуговування, моніторингу та превентивного ремонту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світлофорів елементами оповіщення для осіб з порушенням зору у Вашій громаді (зокрема,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розрахунку відсотків)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Публічні простори та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інбудівлі доступні для маломобільних груп.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091DAD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для маломобільних груп населення у публічних просторах та адмінбудівлях (відсутні пандуси, ліфти, широкі проходи, тактильні елементи тощо)</w:t>
            </w:r>
          </w:p>
        </w:tc>
      </w:tr>
      <w:tr w:rsidR="00FC2EB4" w:rsidRPr="00091DAD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загальна частка доступних об'єктів - менше 25%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деякі об'єкти мають окремі пристосування, але вони поодинокі й несистемні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встановлено вибірково, часто за ініціативою окремих установ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доступність забезпечено у частині просторів та адмінбудівель (понад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системний  підхід до забезпечення доступності та оновлення пристосувань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доступ є обмеженим, особливо у громадських місцях з великим потоком людей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переважна більшість публічних просторва та адмінбудівель (понад 50%) мають необхідні пристосування для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 забезпечено системно (наявні пандуси, ліфти, широкі проходи, тактильні елементи, навігація, доступні туалети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враховуватися не всі потреби осіб з порушеннями функціонування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маломобільні групи населення можуть вільно пересуватись більшістю просторі</w:t>
            </w:r>
            <w:proofErr w:type="gramStart"/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</w:p>
        </w:tc>
      </w:tr>
      <w:tr w:rsidR="00FC2EB4" w:rsidRPr="00FC2EB4" w:rsidTr="00D977A6">
        <w:trPr>
          <w:trHeight w:val="264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публічних просторів та адмінбудівель у громаді мають функціональні пристосування для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системний підхід до облаштування простору (наприклад, наявні пандуси, ліфти, широкі дверні проходи, поручні, тактильні елементи, адаптовані туалети, частково - візуальна та аудіо навігація)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наявна логіка доступного зонування, наприклад, всі основні сервіси розміщені на доступних поверхах або є ліфт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виявлені пошкодження або зношення елементів доступності ремонтуються в оперативні строки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враховуються потреби різних груп, однак окремі інклюзивні рішення можуть бути неповними або потребувати удосконалення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(100%) публічні простори та адміністративні будівлі громади облаштовано комплексно, згідно з принципами універсального дизайну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враховано потреби всіх осіб з тим чи іншим порушенням функціонування (рух, зір, слух тощо)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передбачено навігацію кількома каналами - зорову, тактильну, аудіо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маломобільні групи населення можуть вільно пересуватись та користуватись усіма функціональними зонами без обмежень чи супроводу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вроваджено систему регулярного моніторингу технічного стану адаптацій, ремонту та оновлення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забезпечення доступності публічних просторів та адмінбудівель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зелені зони (парки, сквери тощо) в рамках пішої доступності із відповідним облаштуванням щодо вимог безбар’рності (10 хв пішки).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пішої доступності (до 10 хвилин ходьби) від житлових масивів відсутні будь-які зелені зони (парки, сквери, громадські сади).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облаштування з урахуванням безбар’єрності (наприклад, відсутні пандуси, доріжки з твердим покритттям, зручні лавки, тактильні елементи, доступні входи)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навколишній простір є непридатним для відпочинку осіб із порушенням функціонування.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10 хв ходьби наявні лише 1 зелена зона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 лише поодинокі елементи безбар’єрності, часто несправні або незручні (наприклад, один пандус, зношені лавки тощо).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вхід може бути важкодоступним або незручним для маломобільних груп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в межах пішої доступності наявні, але охоплюють лише частину району (25–50% житлових кварталів)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зони частково облаштовані (наприклад, наявні деякі доступні доріжки, пандуси, лавки, але відсутня системність)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розташовані випадково, частина з них – несправна або не оновлювалась роками</w:t>
            </w:r>
          </w:p>
        </w:tc>
      </w:tr>
      <w:tr w:rsidR="00FC2EB4" w:rsidRPr="00FC2EB4" w:rsidTr="00F32940">
        <w:trPr>
          <w:trHeight w:val="1309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г) </w:t>
            </w:r>
            <w:r w:rsidR="00FC2EB4" w:rsidRPr="00DF7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жителів громади мають доступ до облаштованих зелених зон у межах 10 хвилин пішої 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базово пристосовані для осіб з інвалідністю чи маломобільних груп населення (наприклал, є доріжки з твердим покриттям, пандуси, лавки з підлокітниками, частково - доступні туалети)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може бракувати окремих елементів доступності  (наприклад, тактильних елементів, навігації, логіки зонування)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виявлені несправності усуваються, але системного контролю або моніторингу немає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населення громади мають регулярний доступ до зелених зон із комплексними елементами доступності (у радіусі 10 хв ходьби)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облаштовані системно (наприклад, є доступні входи, доріжки з твердим, рівним покриттям, зручні лавки з підлокотниками, доступні туалети, частково – тактильна навігація, зони затінення)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логічне зонування, зручні маршрути для осіб з різними типами порушень.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несправності усуваються оперативно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житлові квартали громади мають зелені зони в межах 10-хвилинної пішої доступності, повністю облаштовані за принципами універсального дизайну.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зонах є єдоступні входи, доріжки з твердим, рівним покриттям, зручні лавки з підлокотниками, доступні туалети, тактильна навігація, зони затінення, сенсорні доріжки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підтримуються в належному стані, є система регулярного технічного обслуговування та моніторингу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є інклюзивними, безпечними та комфортними для всіх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наявності зелених зони (парки, сквери тощо) в рамках пішої доступності із відповідним облаштуванням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D977A6" w:rsidTr="00D977A6">
        <w:trPr>
          <w:trHeight w:val="345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Участь мешканців у прийнятті рішень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працює механізм залучення різних суспільних груп (жінок, молоді, ВПО, осіб з інвалідністю) до прийняття рішень, які стосуються життя у Вашій громаді, з рекомендованою мінімальною частотою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D977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з частотою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раз на рік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3 квартали </w:t>
            </w:r>
            <w:r w:rsidR="00FC2EB4"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2 квартали року 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сцспільних груп (жінок, молоді, ВПО, людей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1 квартал року </w:t>
            </w:r>
          </w:p>
        </w:tc>
      </w:tr>
      <w:tr w:rsidR="00FC2EB4" w:rsidRPr="00D977A6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 щомісячно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наявного механізму залучення різних суспільних груп до прийняття рішень, які стосуються життя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Проводяться регулярні публічні консультації з питань безбар’єрності та інклюзії, з рекомендованою мінімальною частотою 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відсутнє проведення регулярних публічних консультацій з питань безбар’єрності та інклюзії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протягом 1-го кварталу року (1 раз на рік)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2-х кварталів року (2 рази на рік)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3-х кварталів року (3 рази на рік)</w:t>
            </w:r>
          </w:p>
        </w:tc>
      </w:tr>
      <w:tr w:rsidR="00FC2EB4" w:rsidRPr="00FC2EB4" w:rsidTr="00D977A6">
        <w:trPr>
          <w:trHeight w:val="687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щомісячно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Додайте, будь ласка, протокол/звіт за результатами проведених публічних консультацій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Представники різних суспільних груп населення, що проживають у громаді, входять до складу дорадчих органів. </w:t>
            </w:r>
            <w:r w:rsidR="00F32940" w:rsidRPr="002A1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відсутня залученість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менше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івень </w:t>
            </w:r>
            <w:r w:rsidR="00D977A6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залучено понад 50%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75%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100%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та відсоткового коефіцієнту представників різних суспільних груп населення, що входять до складу дорадчих органів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діє програма/програми підтримки ініціатив мешканців (фінансування за кошти донорів проєктів МТД).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513046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або ж активне посилання на таку програму/програми, а також документальне підтвердження результатів наданої підтримки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опублікування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ічного звіту громади щодо бюджетування у відкритому доступі.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513046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активне посилання на опублікований річний звіт Вашої громади щодо бюджетування у відкритому доступі (за попередній звітний період або за поточний у разі наявності).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проведення відкритих слухань громади щодо місцевих проєктів розвитку. </w:t>
            </w:r>
            <w:r w:rsidR="00F32940" w:rsidRPr="002A1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проводиться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 відкрите слухання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2-3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5130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4-5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6-9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10 і більше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протокол/звіт за результатами проведення відкритих слухань громади щодо місцевих проєктів розвитку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Громада залучає зовнішнє фінансування, таке як гранти та пільгове фінансування від міжнародних партнерів.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громада не залучає зовнішнє фінансування таке як гранти та пільгове фінансування від міжнародних партнерів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менше 25% від бюджету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понад 25% від бюджету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 вищевказане зовнішнє фінансування складає понад 50% від бюджету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понад 75% від бюджету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100% від бюджету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залучення зовнішнього фінансування, а також зазначте який відсоток від місцевого бюджету воно складає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 є наявними громадські організації, що займаються підтримкою осіб з інвалідністю.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немає наявних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наявна 1 громадська організація, що займається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в) </w:t>
            </w:r>
            <w:proofErr w:type="gramStart"/>
            <w:r w:rsidR="00FC2EB4"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2-3 громадські організації,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4-5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6-9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10 і більше громадських організацій, що займаються підтримкою осіб з інвалідністю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громадських організацій з назвами, що займаються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ідтримкою осіб з інвалідністю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інформацію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наявна місцева Рада безбарʼєрності та проводяться засідання протягом року. </w:t>
            </w:r>
            <w:r w:rsidR="00F32940" w:rsidRPr="002A1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відсутня Рада Безбар'єрності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протягом року (1 раз на рік)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в) </w:t>
            </w:r>
            <w:proofErr w:type="gramStart"/>
            <w:r w:rsidR="00FC2EB4"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2 рази на рік (раз на рів року)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3 рази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засідань більше 4-х разів на рік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проведення місцево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ї 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ади безбар'єрності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новину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Стійкість громади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 щорічне громадське опитування щодо потреб мешканців.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AC497A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AC49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результати проведеного щорічного громадського опитування щодо потреб мешканців у Вашій громаді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наявний власний план дій (план евакуації)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7260C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7260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7260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наявного власного плану дій Вашої громади (план евакуації) на випадок надзвичайних ситуацій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 дій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ізні суспільні групи населення, що проживають у громаді, включені у план дій громади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2C1697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C1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2C1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2C1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2C1697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2C16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2C16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плану дій Вашої громади на випадок надзвичайних ситуацій, де включено різні суспільні групи населення, що проживають у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тренінги або навчання з безпеки життєдіяльності для мешканців (протягом року).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тренінги  або навчання з безпеки життєдіяльності для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тренінг та навчання з безпеки життєдіяльності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2-3 тренінги та навчання з безпеки життєдіяльності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16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2C16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Середній </w:t>
            </w:r>
            <w:proofErr w:type="gramStart"/>
            <w:r w:rsidR="00FC2EB4" w:rsidRPr="002C16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2C16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4-5 тренінгів та навчань з безпеки життєдіяльності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тренінгів та навчань з безпеки життєдіяльності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тренінгів та навчань з безпеки життєдіяльності на рік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буль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кількості проведених тренінгів або навчань з безпеки життєдіяльності для мешканців, що проводяться протягом року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Наявні договори/меморандуми з містами-побратимами (договори співпраці з іншим містом/містами).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2C1697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2C16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2C16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таких договорів/меморандумів, а також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їхньої наявності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</w:t>
            </w:r>
            <w:r w:rsidR="00E65D0F" w:rsidRPr="00E65D0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https://bar-city.gov.ua/mistapobratymy/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 забезпечено доступ до укритті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для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осіб з порушеннями опорно-рухового апарату, зору, слуху.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 забезпечені належним доступом укриття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менше 25%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25%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50%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33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proofErr w:type="gramStart"/>
            <w:r w:rsidR="00FC2EB4" w:rsidRPr="00933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933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понад 75%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100% укриттів для осіб з порушеннями опорно-рухового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Вкажіть, будь ласка, загальну кількість облаштованих укриттів та надайте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облаштувань (фотозвіт)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розміщена інформація про евакуацію в доступних форматах (проста (спрощена) мова, шрифт Брайля, відео з перекладом жестовою мовою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A3156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прикладів такого розміщення інформації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Громаду забезпечено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соц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іальним житлом або доступними для оренди квартирами різні суспільні групи мешканців (особи старшого віку, ВПО, особи з інвалідністю) відповідно до визначених потреб.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33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933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Не забезпечено належний </w:t>
            </w:r>
            <w:proofErr w:type="gramStart"/>
            <w:r w:rsidR="00FC2EB4" w:rsidRPr="00933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933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 забезпечено соціального житла або доступних для оренди квартир для різних суспільних груп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37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937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="00FC2EB4" w:rsidRPr="00937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937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менше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забезпечено понад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50%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75%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забезпечено 100% соціального житла або доступних для оренди квартир різні суспільні групи населення (особи старшого віку, ВПО, особи з інвалідністю)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відповідно до визначених потреб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Вкажіть, будь ласка, точну кількість такого житла, яким забезпечено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ізні соціальні групи населення (особи старшого віку, ВПО, особи з інвалідністю) відповідно до визначених потреб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реалізуються програми підтримки різних суспільних груп населення (особи старшого віку, ВПО, особи з інвалідністю).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A3156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таких програм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програми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Населення громади охоплено послугами первинної медичної допомоги, включно з населенням віддалених районів громади.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населення громади не охоплено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охоплено менше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50%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у громаді охоплено понад 75%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охоплено 100%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відсоткового коефіцієнта охоплення населення громади послугами первинної медичної допомоги, включно з населенням віддалених районів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відповідні інституції, що забезпечують інтереси осіб з різними функціональними порушеннями (центри підтримки, центри життєстійкості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- у громаді відсутні відповідні інституції, що забезпечують інтереси осіб з різними функціональними порушеннями (центри підтримки, центри життєстійкості тощо)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послугами вищевказаних інституцій охоплено менше 25%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25%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50%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75% населення громади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100% населення громади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наявних відповідних інституцій, що забезпечують інтереси осіб з різними функціональними порушеннями (центри підтримки, центри життєстійкості тощо)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рівень безпеки в різних районах міста є приблизно однаковим.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A3156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0A31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безпекової ситуації в різних районах міста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впроваджуються ініціативи сталого розвитку, які включено до стратегії громади.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ініціатив, а також документальне підтвердження їхньої наявності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0A163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A1631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4. Освітня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разі звернення батьків дитини з ООП або осіб, що їх замінюють, в громаді створюється інклюзивний клас.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всі звернення ігноруються або залишаються без реагування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поодиноких випадках (менше 25% від поданих заяв)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25% випадків від поданих заяв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понад 50% випадків від поданих заяв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75% випадків від поданих заяв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100% випадків від поданих заяв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випадків відкриття інклюзивних класів за заявами ибатьків або осіб, що їх замінюють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Здобувачі освіти та їхні батьки (особи, що їх замінюють) поінформовані про право на інклюзивне навчання в громаді.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жодних інформаційних заходів  не проводиться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офіційна інформація відсутня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інформаційні заходи не охоплюють більшість здобувачів та їхніх батьків (менше 25%)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ьути випадки, коли реалізуються поодинокі заходи (наприклад, надсилається одне повідомлення на початку навчального року)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інформаційні заходи охоплюють понад 25% здобувачів освіти та їхніх батьків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без системності (наприклад окрім повідомлень, також проводяться 1-2 очні зустрічі  або консультації в окремих класах протягом навчального року)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інформацію отримують більшість здобувачів освіти та їхніх батьків (понад 50%)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заходи реалізовуються, проте без охоплення всіх форм комунікації  (наприклад, 3-4 рази протягом навчального року проводяться особисті зустрічі, батьківські збори, вебінари)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інфомацією охоплено майже всіх здобувачів освіти та їхніх батьків (понад 75%)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реалізовано системне інформування (наприклад, через сайти, адміністрацію та педпрацівників закладів освіти (в т.ч. через месенджери), працівників ІРЦ (у разі зверення))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широке охоплення аудиторії (100 %)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реалізовано системне інформування (наприклад, через різні канали, регулярне оновлення, доступні консультації для батьків, також отримується зворотний зв’язок від батьків)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поінформованості здобувачів освіти та їхніх батьків (осіб, що їх замінюють) про право на інклюзивне навчання в громаді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школи/садочки доступні для дітей з порушеннями опорно-рухового апарату.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жоден заклад освіти не пристосований (відсутні пандуси, підйомники, широкі проходи)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окремі школи/садочки частково адаптовані, проте без системного підходу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досить часто адаптації не відповідають вимогам або не підтримуються у справному стані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закладів освіти мають часткові адаптації, проте без системного підходу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алаптації не завжди відповідають вимогам або не підтримуються у справному стані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закладів освіти доступні для дітей з порушеннями ОРА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можливими є також випадки при яких можуть бути недоопрацьовані окремі елементи або незручна організація простору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закладів адаптовано комплексно (пандуси, підйомники, широкі проходи, доступні санвузли, наявна певна організація простору)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всі адаптації справні, ремонт та оновлення відбувається без затримок 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закладів забезпечено відповідною інфраструктурою, простір закладу логічно зоновано з урахуванням принципів універсального дизайну та розумного пристосування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 ремонтах і реконструкціях враховуються потреби всіх дітей з ООП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доступності шкіл/садочів для дітей з порушеннями опорно-рухового апарату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закладах освіти громади наявне кадрове забезпечення для навчання дітей з ООП. </w:t>
            </w:r>
            <w:r w:rsidR="00F32940" w:rsidRPr="002A1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кадрове забезпечення  для реалізації інклюзивного навчання відсутнє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необхідними кадрами на рівні 25%  (наприклад, лище в окремих випадках призначено асистента дитини)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частково забезпечені кадрами (понад 25%) (напрклад, спостерігається нестача асистентів вчителя та дитини, велика плинність кадрів)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кадрами на рівні понад 50% (напрклад, системна робота ведеться, але потребує розширення: не всі діти з ООП забезпечені супроводом)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кадрове забезпечення підтримується на рівні понад 75% (педагоги проходять навчання, є підтримка ІРЦ,  висока кадрова стабільність)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 заклади на 100% кадрово забезпечений (напркилад, у громаді функціонує налагоджена модель кадрового супроводу, що включає асистентів, фахівців ІРЦ, системне навчання та заохочення педагогів)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кадрового забезпечення для навчання дітей з ООП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закладах освіти громади забезпечено дистанційну форму здобуття освіти. </w:t>
            </w:r>
            <w:r w:rsidR="00F32940" w:rsidRPr="002A1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відсутній будь-який доступ до дистанційного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 закладах освіти відсутня технічна та/або організаційна можливість організації дистанційного навчання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дистанційна освіта доступна лише вибірково (менше 25% учнів громади)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відсутня технічна підтримка з боку закладу освіти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здобувачів мають можливість навчатися дистанційно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враховано потреби окремих груп, але відсутня універсальність рішень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учнів мають стабільний доступ до дистанційної форми освіти.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педагогів забезпечують регулярну взаємодію, проте є технічні або організаційні прогалини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дистанційна освіта доступна переважно всім здобувачам освіти (понад 75%)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 організації дистанційного навчання враховано потреби дітей з ООП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дистанційна освіта доступна всім учням без виключення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забезпечено цифрову доступність, технічну підтримку, адаптацію матеріалів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забезпечення дистанційною освітою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відсутні випадки неохоплення загальною середньою освітою дітей шкільного віку.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наявні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9F0FB1" w:rsidRDefault="00402B0B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б) </w:t>
            </w:r>
            <w:r w:rsidR="00FC2EB4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випадки відсутні </w:t>
            </w:r>
            <w:r w:rsidR="00D977A6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D977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відсутності випадків неохоплення загальною середньою освітою дітей шкільного віку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вживаються заходи у випадку неохоплення загальною середньою освітою дітей шкільного віку.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діти, не охоплені шкільним начанням, не повертаються до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жодних заходів не вживається або заходи виявляюються неефективними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дітей,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рідко, без системності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 фрагментарно, проте без системності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вживаються, проте можуть бути затримки чи прогалини в координації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не охоплених шкільним начанням, 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 наявний чіткий алгоритм реагування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вживаються своєчасні та ефективні заходи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дітей, не охоплених шкільним навчанням, після вжиття заходів повертаються до навчання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поверення до навчання дітей, не охоплених шкільним начанням, за результатами вжитих заходів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наявні програми неформальної освіти, доступні всім охочим.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9F0FB1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наявності програм неформальної освіти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D977A6" w:rsidTr="00D977A6">
        <w:trPr>
          <w:trHeight w:val="30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Суспільна безбар’єрність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не толеруються прояви дискримінації та діють ініціативи задля попередження дискримінації.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відсутні будь-які ініціативи, програми чи заходи щодо протидії дискримінації на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можуть бути ситуації, коли зафіксовано випадки дискримінації, на які відсутнє реагування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реалізовано не більше 1 ініціативи, програми чи заходу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інтерес або ініціатива з боку ОМС чи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є вибірковим або несвоєчасним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проведено 2-3 ініціативи, програми чи заходи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також можуть бути випадки, коли ініціативи реалізовуються переважно НУО  без підтримки місцевої влади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відбувається, проте воно несистемне</w:t>
            </w:r>
          </w:p>
        </w:tc>
      </w:tr>
      <w:tr w:rsidR="00FC2EB4" w:rsidRPr="00FC2EB4" w:rsidTr="00402B0B">
        <w:trPr>
          <w:trHeight w:val="742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реалізовано 4-5 ініціатив, програм чи заходиів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як правило, під час реалізації ініціатив організовано взаємодію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ОМС з громадськими організаціями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– як правило, в громаді розроблено систему реагування на прояви дискримінації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реалізується щонайменше 6–9  ініціатив, програм чи заходів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громаді розроблено систему реагування на прояви дискримінації та її попередження 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діє понад 10 ініціатив, програм чи заходів з протидії дискримінації на рік, що охоплюють різні аудиторії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функціонує комплексна система регування на випалки дискримінації та протидії їй ( втому числі підтримка постраждалих)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Працівники органів місцевого самоврядування громади пройшли навчання на тему безбар’єрності та інклюзії.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працівники ОМС не проходили відповідне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не проводилося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BD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9F0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менше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епізодичне, без системного охоплення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точково інтегруються в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організовано з базових питань інклюзії та проводиться щороку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поступово інтегруються в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3A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BD3A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та системність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100%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є обов’язковим елементом щорічного підвищення кваліфікації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працівників, що пройшли відповідне навчання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на теми прав людини і рівних можливостей. </w:t>
            </w:r>
            <w:r w:rsidR="00F32940" w:rsidRPr="002A1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не проводяться заходи на теми прав людини і рівних можливостей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випадку, коли відсутній інтерес або ініціатива з боку ОМС чи громади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не більше 1 заходу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інтерес або ініціатива з боку ОМС чи громади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2–3 заходи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випадки, коли ініціативи реалізовуються переважно за підтримки НУО, без активної участі ОМС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3A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BD3A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 w:rsidRPr="00BD3A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BD3A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протягом року реалізовано 4–5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залучені різні групи населення та представники ОМС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рівня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організовано 6–9 подій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правилои, заходи реалізуються за активної участі ОМС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щорічно проводиться понад 10 тематичних заходів з прав людини і рівних можливостей–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охоплено різні аудиторії: молодь, освітяни, працівники ОМС, жінки, люди з інвалідністю тощо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 є інтегрованою у культурні, освітні та інформаційні політики громади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кількості проведених заходів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та культурні події, важливі для різних суспільних груп населення.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жодні заходи та культурні події, важливі для різних суспільних груп населення громади, протягом року не проводилися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не більше 1-го заходу та культурної події, важливої для різних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випалки, коли доступність або інклюзивність такого заходу та події є недостатньою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2–3 заходи та культурні події на рік орієнтовані на потреби різних суспільних груп населення громади (наприклад, людей старшого віку або дітей)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випадки, коли доступність або інклюзивність таких заходів та подій є недостатньою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4–5 заходів чи культурних подій,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перважно враховують потреби відвідувачів у доступності та безбар’єрності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3A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BD3A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 w:rsidRPr="00BD3A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BD3A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протягом року проводиться 6–9 заходів чи культурних подій щороку,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протягом року продиться понад 10 заходів та культурних подій щорічно, важливих для різних суспільних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заходів та культурних подій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8" w:history="1">
              <w:r w:rsidR="00BD3AE7" w:rsidRPr="00316C5A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https://bar-city.gov.ua/news/1787684703/</w:t>
              </w:r>
            </w:hyperlink>
            <w:r w:rsidR="00BD3AE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місця для вільного зібрання мешканців  (зокрема соціальні клуби, паркові зони, коворкінги, центри громадської участі, ветеранські хаби, бібліотеки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місця для зібрань майже відсутні або існують формально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10% на кожні 10 тис. наслення громади має доступ до таких просторів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не забезпечена достпність таких просторів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25% на кожні 10 тис. населення громади має доступ до місць для вільного зібрання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наявні лише поодинокі об’єкти, які не охоплюють основні групи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забезпечена часткова достпність таких просторів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на кожні 10 тис. мешканців громади мають доступ до таких місць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інфраструктура фрагментарна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прааивло, деякі простори не відповідають базовим умовам доступності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A17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протори не рівномірно розподілені між населеними пунктами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наявна базова доступність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 4 бали)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різноманітні формати локацій (від бібліотек до відкритих просторів), адаптовані під різні групи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комплексну доступність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 на кожні 10 тис. мешканців громади мають доступ до зручних місць для зібрань у межах пішої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мережа просторів різноманітна, охоплює інтереси й потреби різних вікових, соціальних і суспільних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простори активно використовуються, підтримуються, забезпечені комплексними умовами доступності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забезпечення населення громади (на кожні 10 000) місць для вільного зібрання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наявні ініціативи, що підтримують міжпоколіннєвий або міжкультурний діалог та обмін досвідом.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громаді не проводяться заходи чи ініціативи, спрямовані на діалог між поколіннями або культурами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можливості для взаємодії людей різного віку, походження чи досвіду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реалізовано не більше 1 ініціативи на рік,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не залучено більше однієї групи (наприклад, лише молодь)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2-3 ініціативи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A17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4–5 ініціатив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6–9 регулярних ініціатив у партнерстві з ОМС або за її підтримки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відбувається взаємодія між поколіннями, мешканцями з різними походженням, культурою тощо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реалізується понад 10 ініціатив або програм щорічно, що охоплюють міжпоколіннєвий та міжкультурний обмін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міжпоколіннєвий або міжкультурний діалог та обмін досвідом є інтегрованим елементом освітніх, культурних та соціальних стратегій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наявних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</w:t>
            </w:r>
            <w:r w:rsidR="00A174C2" w:rsidRPr="00A174C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https://bar-city.gov.ua/news/maybutnye-pochynayetsya-z-vyboru-u-barskiy-hromadi-vidbuvsya-forum-proforiyentaciynykh-mozhlyvostey-3522205/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Інклюзивні послуги та сервіси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наявна можливість запису на прийом щодо отримання необхідних послуг онлайн або з використанням спеціальних додатків у смартфонах, що допомагає уникнути складних процедур запису для осіб з інвалідністю та інших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повністю відсутній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менше, ніж 25% основних послуг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25 %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сервіс працює нестабільно або незручно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50%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сервіси працюють та передбачено базову зручність для різних суспільних груп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75%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правило,ервіси працюють та їхгій інтерфейс враховує потреби осіб з інвалідністю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послуг мають онлайн-запис або запис через додатки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сервіси є доступними, зручними, адаптованими для різних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розрахунку відсотків послуг, для яких доступним є запис онлайн або з використанням спеціальних додатків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сервіси/послуги/події дублюється шрифтом Брайля, жестовою мовою, простою (спрощеною) мовою та доступна в онлайн форматі.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 забезпечено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інформація не дублюється жодним альтернативним способом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альтернативне дублювання охоплює менше 25% ключової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реалізується несистемно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) </w:t>
            </w:r>
            <w:r w:rsidR="00FC2EB4" w:rsidRPr="00B77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дублювання альтернативним способом здійснюється для понад 25%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присутні лише окремі формати (наприклад, онлайн або жестова мова)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понад 50% інформації дублюється альтернативним способом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праивло, використовуються щонайменше два альтернативні формати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інформації дублюється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інформація доступна для різних груп (з порушеннями зору, слуху, когнітивними порушеннями)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інформації дублюється у доступних форматах: Брайль, жестова мова, проста (спрощена) мова, онлайн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використовується багатоканальне інформування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розрахунку відсотків сервісів/послуг/подій, про які інформація дублюється шрифтом Брайля, жестовою мовою, спрощеною мовою або онлайн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послуги є доступною в зручних форматах.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інформацію про жодну послугу не можна отримати у зручному форматі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) </w:t>
            </w:r>
            <w:r w:rsidR="00FC2EB4"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так, інформацію про окремі послуги можна отримати у зручному форматі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інформація про послуги регулярно оновлюється і є доступною в зручних форматах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послуги надаються дистанційно (телефоном, онлайн), якщо це необхідно.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відсутня можливість отримати жодну послугу дистанційно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B77280" w:rsidRDefault="00402B0B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так, є можливість отримати окремі види послуг дистанційно </w:t>
            </w:r>
            <w:r w:rsidR="00D977A6"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послуги надаються також дистанційно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надається послуга перекладача жестової мови або супроводу за запитом.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B77280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B772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надається послуга перекладача жестової мови або супроводу за запитом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</w:t>
            </w:r>
            <w:r w:rsidR="00A962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наявна інформація розміщена в приміщенні ЦНАПу__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наявна можливість отримати супровід або допомогу при оформленні документів.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C317B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наявна можливість отримати супровід або допомогу при оформленні документів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віддалених районах громади надається мобільна допомога/виїзні бригади медичних або соціальних працівників.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D977A6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мобільна допомога або виїзні бригади взагалі не функціонують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відсутня реакція на виклики або виклики ігноруються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рідко: менше ніж 1 раз на місяць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виклики часто залишаються без реагування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виїзди здійснюються не рідше 1 раз на місяць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не завжди доїжджають до всіх заявлених локацій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не рідше 1 разу на 2 тижні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доїзжджають із затримками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) </w:t>
            </w:r>
            <w:r w:rsidR="00FC2EB4"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бригади здійснюють виїзди щотижня або частіше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чіткий графік виїздів та можливість реагування на екстрені запити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доступності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відбуваються регулярно та за потреби, включаючи екстрені виклики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оперативне реагування протягом 24 годин після звернення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кількість виїздів та оперативність реагування мобільної допомоги/виїзних бригад медичних або соціальних працівників у віддалених районах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0A163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A1631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7. Цифрова безбар'єрність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Громада має сайт або онлайн-портал, доступний для людей з порушенням зору/слуху.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C317B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такий </w:t>
            </w:r>
            <w:r w:rsid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веб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сайт або онлайн-портал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можна оформити необхідні документи онлайн без необхідності відвідування адміністративних будівель особисто.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C317B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онлайн-ресурс або документальне підтвердження такого функціоналу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створено мобільний додаток для інформування щодо забезпечення потреб громади, а також забезпечено його адаптацію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C317B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додаток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електронних публічних послуг.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C317B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 ресурс з безбар’єрним доступом до електронних публічних послуг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публічної інформації органів владних повноважень.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C317B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з безбар’єрним доступом до публічної інформації органів владних повноважень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аудіовізуальних та друкованих медіа.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C317B3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або ж документальне підтвердження безбар’єрного доступу до аудіовізуальних та друкованих медіа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швидкісного інтернету.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швидкісного інтернету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менше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50%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75%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безбар'єрним доступом до швидкісного інтернету 100%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безбар’єрного доступу до швидкісного інтернету різних суспільних груп Вашої громади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суспільних груп забезпечено безбар’єрний доступ до отримання цифрових знань та навичок.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отримання цифрових знань та навичок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менше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50%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75%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100%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 документальне підтвердження забезпечення мешканців Вашої громади безбар’єрним доступом до отримання цифрових знань та навичок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із підвищення цифрової грамотності різних суспільних груп мешканців (протягом року). </w:t>
            </w:r>
            <w:r w:rsidR="00F32940" w:rsidRPr="000A1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заходи із підвищення цифрової грамотності для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захід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заходи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C317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у громаді проводиться 4-5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Надайте,будь ласка, документальне підтвердження проведених заходів із підвищення цифрової грамотності для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0A1631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A1631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8. Економічна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враховуються потреби осіб з інвалідністю при працевлаштуванні у структурах органів місцевого самоврядування.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40CAC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0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E40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A010F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того, як враховуються потреби осіб з інвалідністю при працевлаштуванні у структурах органів місцевого самоврядування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звіт)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допомоги у працевлаштуванні осіб з інвалідністю.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40CAC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E40C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E40C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 наявні програми підтримки місцевого бізнесу або самозайнятості, зокрема для підтримки різних суспільних груп громади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CD47A2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D47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 w:rsidRPr="00CD47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CD47A2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D4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CD4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D4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межах громади або поблизу забезпечено наявність філії чинної служби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зайнятості.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A010F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філії чинної служби зайнятості у Вашій громаді</w:t>
            </w:r>
            <w:r w:rsidR="004973DA">
              <w:t xml:space="preserve"> </w:t>
            </w:r>
            <w:r w:rsidR="004973DA" w:rsidRPr="004973D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mista.ua/Інфраструктура/Освіта_і_робота/Робота/барський---районний/</w:t>
            </w:r>
            <w:r w:rsidR="004973D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проведення відповідних освітніх заходів (курсів/тренінгів/навчальних програм підвищення кваліфікації, перекваліфікації, покращення навичок тощо) забезпечених доступністю для різних суспільних груп населення громади щорічно.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вищевказані освітні заходи забезпечені доступністю для різних суспільних груп населення громади щорічно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вищевказаний освітній захід забезпечений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вищевказані освітні заходи забезпечені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більше 10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кількості проведених заходів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доступ та інформування щодо наявних програм отримання грантів/субсидій для працевлаштування різних суспільних груп населення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40CAC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E40C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 w:rsidRPr="00E40C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40CAC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0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E40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40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D977A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Надайте, будь ласка, документальне підтвердження забезпеченого доступу та інформування щодо наявних програм отримання грантів/субсидій для працевлаштування різних суспільних груп Вашої громади (особи старшого віку, ВПО, особи з інвалідністю)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</w:t>
            </w:r>
            <w:r w:rsidR="004973DA">
              <w:t xml:space="preserve"> </w:t>
            </w:r>
            <w:r w:rsidR="004973DA" w:rsidRPr="004973D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https://bar-city.gov.ua/biznes/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доступні високоякісні робочі місця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A010F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 w:rsidRPr="008A01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наявних доступних високоякісних робочих місць для різних суспільних груп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надаються мікрокредити та/або інша підтримка підприємництва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40CAC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0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 w:rsidRPr="00E40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40CAC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E40C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E40C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E40C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D6D2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надання мікрокредитів та/або іншої пітримки підприємництва різним суспільним групам мешканців Вашої громади</w:t>
            </w:r>
            <w:r w:rsidR="00FD6D2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</w:t>
            </w:r>
            <w:r w:rsidR="00FD6D2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щомісячно на сайті </w:t>
            </w:r>
            <w:r w:rsidR="00BF77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Барської міської ради в розділі Е</w:t>
            </w:r>
            <w:r w:rsidR="00FD6D2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кономіка  підпункт Бізнес проводиться щомісячне інформування громадян стосовно діючих програм, грантів, поновлюються актуальні дані про діючі програми та гранти </w:t>
            </w:r>
            <w:r w:rsidR="00A67F90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(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A67F90" w:rsidRPr="000A16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  <w:r w:rsidR="00BF775E">
              <w:t xml:space="preserve"> </w:t>
            </w:r>
            <w:r w:rsidR="00BF775E" w:rsidRPr="00BF77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https://bar-city.gov.ua/biznes/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підтримки жінок-підприємиць.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D6D26" w:rsidRDefault="00FC2EB4" w:rsidP="00FC2E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D6D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 w:rsidRPr="00FD6D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програм підтримки жінок-підприємиць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</w:t>
            </w:r>
            <w:r w:rsidR="00E33624">
              <w:t xml:space="preserve"> </w:t>
            </w:r>
            <w:r w:rsidR="00E33624" w:rsidRPr="00E336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https://bar-city.gov.ua/news/10460-vid-ideyi-do-vtilennya-treninh-chesnyy-biznes-stav-putivnykom-dlya-pidpryyemnyc-mista-baru-3514262/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 (посилання на перелік програм)</w:t>
            </w:r>
          </w:p>
        </w:tc>
      </w:tr>
    </w:tbl>
    <w:p w:rsidR="00FC2EB4" w:rsidRDefault="00FC2EB4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7F90" w:rsidRPr="00D977A6" w:rsidRDefault="009233E5" w:rsidP="00A67F90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233E5">
        <w:rPr>
          <w:rFonts w:ascii="Times New Roman" w:hAnsi="Times New Roman" w:cs="Times New Roman"/>
          <w:sz w:val="28"/>
          <w:szCs w:val="28"/>
          <w:u w:val="single"/>
        </w:rPr>
        <w:t xml:space="preserve">17»  вересня </w:t>
      </w:r>
      <w:r w:rsidR="00D977A6" w:rsidRPr="009233E5">
        <w:rPr>
          <w:rFonts w:ascii="Times New Roman" w:hAnsi="Times New Roman" w:cs="Times New Roman"/>
          <w:sz w:val="28"/>
          <w:szCs w:val="28"/>
          <w:u w:val="single"/>
        </w:rPr>
        <w:t>202</w:t>
      </w:r>
      <w:r w:rsidRPr="009233E5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D977A6" w:rsidRPr="009233E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77A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A67F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D977A6" w:rsidRPr="00D977A6" w:rsidRDefault="00D977A6" w:rsidP="00D977A6">
      <w:pPr>
        <w:spacing w:after="0"/>
        <w:ind w:left="6663"/>
        <w:rPr>
          <w:rFonts w:ascii="Times New Roman" w:hAnsi="Times New Roman" w:cs="Times New Roman"/>
          <w:sz w:val="18"/>
          <w:szCs w:val="18"/>
        </w:rPr>
      </w:pPr>
    </w:p>
    <w:sectPr w:rsidR="00D977A6" w:rsidRPr="00D977A6" w:rsidSect="00A67F90">
      <w:headerReference w:type="default" r:id="rId9"/>
      <w:pgSz w:w="12240" w:h="15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E9B" w:rsidRDefault="00E00E9B" w:rsidP="00A67F90">
      <w:pPr>
        <w:spacing w:after="0" w:line="240" w:lineRule="auto"/>
      </w:pPr>
      <w:r>
        <w:separator/>
      </w:r>
    </w:p>
  </w:endnote>
  <w:endnote w:type="continuationSeparator" w:id="0">
    <w:p w:rsidR="00E00E9B" w:rsidRDefault="00E00E9B" w:rsidP="00A6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E9B" w:rsidRDefault="00E00E9B" w:rsidP="00A67F90">
      <w:pPr>
        <w:spacing w:after="0" w:line="240" w:lineRule="auto"/>
      </w:pPr>
      <w:r>
        <w:separator/>
      </w:r>
    </w:p>
  </w:footnote>
  <w:footnote w:type="continuationSeparator" w:id="0">
    <w:p w:rsidR="00E00E9B" w:rsidRDefault="00E00E9B" w:rsidP="00A6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775670992"/>
      <w:docPartObj>
        <w:docPartGallery w:val="Page Numbers (Top of Page)"/>
        <w:docPartUnique/>
      </w:docPartObj>
    </w:sdtPr>
    <w:sdtEndPr/>
    <w:sdtContent>
      <w:p w:rsidR="000160DD" w:rsidRPr="00A67F90" w:rsidRDefault="000160DD">
        <w:pPr>
          <w:pStyle w:val="a4"/>
          <w:jc w:val="center"/>
          <w:rPr>
            <w:rFonts w:ascii="Times New Roman" w:hAnsi="Times New Roman" w:cs="Times New Roman"/>
          </w:rPr>
        </w:pPr>
        <w:r w:rsidRPr="00A67F90">
          <w:rPr>
            <w:rFonts w:ascii="Times New Roman" w:hAnsi="Times New Roman" w:cs="Times New Roman"/>
          </w:rPr>
          <w:fldChar w:fldCharType="begin"/>
        </w:r>
        <w:r w:rsidRPr="00A67F90">
          <w:rPr>
            <w:rFonts w:ascii="Times New Roman" w:hAnsi="Times New Roman" w:cs="Times New Roman"/>
          </w:rPr>
          <w:instrText>PAGE   \* MERGEFORMAT</w:instrText>
        </w:r>
        <w:r w:rsidRPr="00A67F90">
          <w:rPr>
            <w:rFonts w:ascii="Times New Roman" w:hAnsi="Times New Roman" w:cs="Times New Roman"/>
          </w:rPr>
          <w:fldChar w:fldCharType="separate"/>
        </w:r>
        <w:r w:rsidR="00B751BE" w:rsidRPr="00B751BE">
          <w:rPr>
            <w:rFonts w:ascii="Times New Roman" w:hAnsi="Times New Roman" w:cs="Times New Roman"/>
            <w:noProof/>
            <w:lang w:val="ru-RU"/>
          </w:rPr>
          <w:t>38</w:t>
        </w:r>
        <w:r w:rsidRPr="00A67F90">
          <w:rPr>
            <w:rFonts w:ascii="Times New Roman" w:hAnsi="Times New Roman" w:cs="Times New Roman"/>
          </w:rPr>
          <w:fldChar w:fldCharType="end"/>
        </w:r>
      </w:p>
    </w:sdtContent>
  </w:sdt>
  <w:p w:rsidR="000160DD" w:rsidRDefault="000160D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B4"/>
    <w:rsid w:val="000138C6"/>
    <w:rsid w:val="000160DD"/>
    <w:rsid w:val="00091DAD"/>
    <w:rsid w:val="000A1631"/>
    <w:rsid w:val="000A3156"/>
    <w:rsid w:val="002A17C4"/>
    <w:rsid w:val="002C1697"/>
    <w:rsid w:val="003B7B00"/>
    <w:rsid w:val="00402B0B"/>
    <w:rsid w:val="004973DA"/>
    <w:rsid w:val="004B0966"/>
    <w:rsid w:val="004D6817"/>
    <w:rsid w:val="004F7D72"/>
    <w:rsid w:val="00513046"/>
    <w:rsid w:val="00621A47"/>
    <w:rsid w:val="007260C3"/>
    <w:rsid w:val="0079274B"/>
    <w:rsid w:val="00866B21"/>
    <w:rsid w:val="008A010F"/>
    <w:rsid w:val="009233E5"/>
    <w:rsid w:val="009337B4"/>
    <w:rsid w:val="009370F9"/>
    <w:rsid w:val="009B11DA"/>
    <w:rsid w:val="009F0FB1"/>
    <w:rsid w:val="00A174C2"/>
    <w:rsid w:val="00A67F90"/>
    <w:rsid w:val="00A962D9"/>
    <w:rsid w:val="00AC497A"/>
    <w:rsid w:val="00B20385"/>
    <w:rsid w:val="00B42F07"/>
    <w:rsid w:val="00B751BE"/>
    <w:rsid w:val="00B77280"/>
    <w:rsid w:val="00BD3AE7"/>
    <w:rsid w:val="00BE3FB0"/>
    <w:rsid w:val="00BF775E"/>
    <w:rsid w:val="00C317B3"/>
    <w:rsid w:val="00CD47A2"/>
    <w:rsid w:val="00D82CF6"/>
    <w:rsid w:val="00D977A6"/>
    <w:rsid w:val="00DF765C"/>
    <w:rsid w:val="00E00E9B"/>
    <w:rsid w:val="00E33624"/>
    <w:rsid w:val="00E40CAC"/>
    <w:rsid w:val="00E65D0F"/>
    <w:rsid w:val="00E84C37"/>
    <w:rsid w:val="00ED13A2"/>
    <w:rsid w:val="00F05063"/>
    <w:rsid w:val="00F32940"/>
    <w:rsid w:val="00F50873"/>
    <w:rsid w:val="00F51CCF"/>
    <w:rsid w:val="00F54DD4"/>
    <w:rsid w:val="00FC2EB4"/>
    <w:rsid w:val="00FD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character" w:styleId="a8">
    <w:name w:val="Hyperlink"/>
    <w:basedOn w:val="a0"/>
    <w:uiPriority w:val="99"/>
    <w:unhideWhenUsed/>
    <w:rsid w:val="00BD3AE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character" w:styleId="a8">
    <w:name w:val="Hyperlink"/>
    <w:basedOn w:val="a0"/>
    <w:uiPriority w:val="99"/>
    <w:unhideWhenUsed/>
    <w:rsid w:val="00BD3A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0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r-city.gov.ua/news/1787684703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A7D8C-63A2-42C2-B5F2-6B9FC9655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38</Pages>
  <Words>11315</Words>
  <Characters>64497</Characters>
  <Application>Microsoft Office Word</Application>
  <DocSecurity>0</DocSecurity>
  <Lines>537</Lines>
  <Paragraphs>151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Негода Мирослава Сергіївна</dc:creator>
  <cp:lastModifiedBy>User</cp:lastModifiedBy>
  <cp:revision>23</cp:revision>
  <dcterms:created xsi:type="dcterms:W3CDTF">2026-09-17T12:36:00Z</dcterms:created>
  <dcterms:modified xsi:type="dcterms:W3CDTF">2026-09-21T08:32:00Z</dcterms:modified>
</cp:coreProperties>
</file>