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5BE" w14:textId="0777FB30" w:rsidR="00305E8B" w:rsidRPr="00305E8B" w:rsidRDefault="00305E8B" w:rsidP="00305E8B">
      <w:pPr>
        <w:spacing w:after="0"/>
        <w:ind w:firstLine="709"/>
        <w:jc w:val="center"/>
        <w:rPr>
          <w:b/>
          <w:bCs/>
        </w:rPr>
      </w:pPr>
      <w:proofErr w:type="spellStart"/>
      <w:r w:rsidRPr="00305E8B">
        <w:rPr>
          <w:b/>
          <w:bCs/>
        </w:rPr>
        <w:t>Моніторинг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наслідків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виконання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документів</w:t>
      </w:r>
      <w:proofErr w:type="spellEnd"/>
      <w:r w:rsidRPr="00305E8B">
        <w:rPr>
          <w:b/>
          <w:bCs/>
        </w:rPr>
        <w:t xml:space="preserve"> державного </w:t>
      </w:r>
      <w:proofErr w:type="spellStart"/>
      <w:r w:rsidRPr="00305E8B">
        <w:rPr>
          <w:b/>
          <w:bCs/>
        </w:rPr>
        <w:t>планування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регіонального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рівня</w:t>
      </w:r>
      <w:proofErr w:type="spellEnd"/>
      <w:r w:rsidRPr="00305E8B">
        <w:rPr>
          <w:b/>
          <w:bCs/>
        </w:rPr>
        <w:t xml:space="preserve"> у 202</w:t>
      </w:r>
      <w:r w:rsidR="008573A5">
        <w:rPr>
          <w:b/>
          <w:bCs/>
          <w:lang w:val="uk-UA"/>
        </w:rPr>
        <w:t>5</w:t>
      </w:r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році</w:t>
      </w:r>
      <w:proofErr w:type="spellEnd"/>
      <w:r w:rsidRPr="00305E8B">
        <w:rPr>
          <w:b/>
          <w:bCs/>
        </w:rPr>
        <w:t xml:space="preserve"> для </w:t>
      </w:r>
      <w:proofErr w:type="spellStart"/>
      <w:r w:rsidRPr="00305E8B">
        <w:rPr>
          <w:b/>
          <w:bCs/>
        </w:rPr>
        <w:t>довкілля</w:t>
      </w:r>
      <w:proofErr w:type="spellEnd"/>
      <w:r w:rsidRPr="00305E8B">
        <w:rPr>
          <w:b/>
          <w:bCs/>
        </w:rPr>
        <w:t xml:space="preserve">, у тому </w:t>
      </w:r>
      <w:proofErr w:type="spellStart"/>
      <w:r w:rsidRPr="00305E8B">
        <w:rPr>
          <w:b/>
          <w:bCs/>
        </w:rPr>
        <w:t>числі</w:t>
      </w:r>
      <w:proofErr w:type="spellEnd"/>
      <w:r w:rsidRPr="00305E8B">
        <w:rPr>
          <w:b/>
          <w:bCs/>
        </w:rPr>
        <w:t xml:space="preserve"> для </w:t>
      </w:r>
      <w:proofErr w:type="spellStart"/>
      <w:r w:rsidRPr="00305E8B">
        <w:rPr>
          <w:b/>
          <w:bCs/>
        </w:rPr>
        <w:t>здоров’я</w:t>
      </w:r>
      <w:proofErr w:type="spellEnd"/>
      <w:r w:rsidRPr="00305E8B">
        <w:rPr>
          <w:b/>
          <w:bCs/>
        </w:rPr>
        <w:t xml:space="preserve"> </w:t>
      </w:r>
      <w:proofErr w:type="spellStart"/>
      <w:r w:rsidRPr="00305E8B">
        <w:rPr>
          <w:b/>
          <w:bCs/>
        </w:rPr>
        <w:t>населення</w:t>
      </w:r>
      <w:proofErr w:type="spellEnd"/>
    </w:p>
    <w:p w14:paraId="5294C500" w14:textId="77777777" w:rsidR="00305E8B" w:rsidRDefault="00305E8B">
      <w:pPr>
        <w:spacing w:after="0"/>
        <w:ind w:firstLine="709"/>
        <w:jc w:val="both"/>
      </w:pPr>
    </w:p>
    <w:p w14:paraId="2D9EDB39" w14:textId="0A41DE57" w:rsidR="001B00F2" w:rsidRDefault="000A01F2">
      <w:pPr>
        <w:spacing w:after="0"/>
        <w:ind w:firstLine="709"/>
        <w:jc w:val="both"/>
        <w:rPr>
          <w:lang w:val="uk-UA"/>
        </w:rPr>
      </w:pPr>
      <w:proofErr w:type="spellStart"/>
      <w:r>
        <w:t>Моніторинг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державного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у 202</w:t>
      </w:r>
      <w:r w:rsidR="00DD6CC0">
        <w:rPr>
          <w:lang w:val="uk-UA"/>
        </w:rPr>
        <w:t>5</w:t>
      </w:r>
      <w:r>
        <w:t xml:space="preserve"> </w:t>
      </w:r>
      <w:proofErr w:type="spellStart"/>
      <w:r>
        <w:t>році</w:t>
      </w:r>
      <w:proofErr w:type="spellEnd"/>
      <w:r>
        <w:t xml:space="preserve"> для </w:t>
      </w:r>
      <w:proofErr w:type="spellStart"/>
      <w:r>
        <w:t>довкілля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проведено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17 Закону </w:t>
      </w:r>
      <w:proofErr w:type="spellStart"/>
      <w:r>
        <w:t>України</w:t>
      </w:r>
      <w:proofErr w:type="spellEnd"/>
      <w:r>
        <w:t xml:space="preserve"> „Про </w:t>
      </w:r>
      <w:proofErr w:type="spellStart"/>
      <w:r>
        <w:t>стратегічну</w:t>
      </w:r>
      <w:proofErr w:type="spellEnd"/>
      <w:r>
        <w:t xml:space="preserve">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оцінкуˮ</w:t>
      </w:r>
      <w:proofErr w:type="spellEnd"/>
      <w:r>
        <w:rPr>
          <w:lang w:val="uk-UA"/>
        </w:rPr>
        <w:t>.</w:t>
      </w:r>
    </w:p>
    <w:p w14:paraId="424CE4C9" w14:textId="09FD1568" w:rsidR="001B00F2" w:rsidRDefault="000A01F2">
      <w:pPr>
        <w:spacing w:before="20" w:after="20"/>
        <w:ind w:firstLine="708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</w:rPr>
        <w:t xml:space="preserve">ПРОГРАМА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рибного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господарства</w:t>
      </w:r>
      <w:proofErr w:type="spellEnd"/>
      <w:r>
        <w:rPr>
          <w:rFonts w:eastAsia="Times New Roman"/>
          <w:color w:val="000000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Cs w:val="28"/>
        </w:rPr>
        <w:t>Вінницькій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області</w:t>
      </w:r>
      <w:proofErr w:type="spellEnd"/>
      <w:r>
        <w:rPr>
          <w:rFonts w:eastAsia="Times New Roman"/>
          <w:color w:val="000000"/>
          <w:szCs w:val="28"/>
        </w:rPr>
        <w:t xml:space="preserve"> на 2024-2028 роки (</w:t>
      </w:r>
      <w:proofErr w:type="spellStart"/>
      <w:r>
        <w:rPr>
          <w:rFonts w:eastAsia="Times New Roman"/>
          <w:color w:val="000000"/>
          <w:szCs w:val="28"/>
        </w:rPr>
        <w:t>далі</w:t>
      </w:r>
      <w:proofErr w:type="spellEnd"/>
      <w:r>
        <w:rPr>
          <w:rFonts w:eastAsia="Times New Roman"/>
          <w:color w:val="000000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Cs w:val="28"/>
        </w:rPr>
        <w:t>Програма</w:t>
      </w:r>
      <w:proofErr w:type="spellEnd"/>
      <w:r>
        <w:rPr>
          <w:rFonts w:eastAsia="Times New Roman"/>
          <w:color w:val="000000"/>
          <w:szCs w:val="28"/>
        </w:rPr>
        <w:t xml:space="preserve">) є документом державного </w:t>
      </w:r>
      <w:proofErr w:type="spellStart"/>
      <w:r>
        <w:rPr>
          <w:rFonts w:eastAsia="Times New Roman"/>
          <w:color w:val="000000"/>
          <w:szCs w:val="28"/>
        </w:rPr>
        <w:t>планування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місцевого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рівня</w:t>
      </w:r>
      <w:proofErr w:type="spellEnd"/>
      <w:r w:rsidR="00034C8D">
        <w:rPr>
          <w:rFonts w:eastAsia="Times New Roman"/>
          <w:color w:val="000000"/>
          <w:szCs w:val="28"/>
          <w:lang w:val="uk-UA"/>
        </w:rPr>
        <w:t xml:space="preserve"> (далі ДДП)</w:t>
      </w:r>
      <w:r>
        <w:rPr>
          <w:rFonts w:eastAsia="Times New Roman"/>
          <w:color w:val="000000"/>
          <w:szCs w:val="28"/>
        </w:rPr>
        <w:t>.</w:t>
      </w:r>
    </w:p>
    <w:p w14:paraId="1AF1CD03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lang w:val="uk-UA"/>
        </w:rPr>
        <w:t>ПРОГРАМА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має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зв’язок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узгоджується</w:t>
      </w:r>
      <w:proofErr w:type="spellEnd"/>
      <w:r>
        <w:rPr>
          <w:rFonts w:eastAsia="Times New Roman"/>
          <w:color w:val="000000"/>
          <w:szCs w:val="28"/>
        </w:rPr>
        <w:t xml:space="preserve"> з </w:t>
      </w:r>
      <w:proofErr w:type="spellStart"/>
      <w:r>
        <w:rPr>
          <w:rFonts w:eastAsia="Times New Roman"/>
          <w:color w:val="000000"/>
          <w:szCs w:val="28"/>
        </w:rPr>
        <w:t>іншими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  <w:lang w:val="uk-UA"/>
        </w:rPr>
        <w:t>документами державного планування</w:t>
      </w:r>
      <w:r>
        <w:rPr>
          <w:rFonts w:eastAsia="Times New Roman"/>
          <w:color w:val="000000"/>
          <w:szCs w:val="28"/>
        </w:rPr>
        <w:t xml:space="preserve">, а </w:t>
      </w:r>
      <w:proofErr w:type="spellStart"/>
      <w:r>
        <w:rPr>
          <w:rFonts w:eastAsia="Times New Roman"/>
          <w:color w:val="000000"/>
          <w:szCs w:val="28"/>
        </w:rPr>
        <w:t>саме</w:t>
      </w:r>
      <w:proofErr w:type="spellEnd"/>
      <w:r>
        <w:rPr>
          <w:rFonts w:eastAsia="Times New Roman"/>
          <w:color w:val="000000"/>
          <w:szCs w:val="28"/>
        </w:rPr>
        <w:t xml:space="preserve">: </w:t>
      </w:r>
    </w:p>
    <w:p w14:paraId="4952A556" w14:textId="526AF767" w:rsidR="001B00F2" w:rsidRDefault="000A01F2">
      <w:pPr>
        <w:pStyle w:val="a3"/>
        <w:spacing w:before="20" w:after="20"/>
        <w:ind w:left="0"/>
        <w:jc w:val="both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Cs w:val="28"/>
          <w:u w:val="single"/>
        </w:rPr>
        <w:t>Стратегія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збалансованого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регіонального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розвитку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Вінницької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області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на </w:t>
      </w:r>
      <w:proofErr w:type="spellStart"/>
      <w:r>
        <w:rPr>
          <w:rFonts w:eastAsia="Times New Roman"/>
          <w:color w:val="000000"/>
          <w:szCs w:val="28"/>
          <w:u w:val="single"/>
        </w:rPr>
        <w:t>період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до 2027 року, </w:t>
      </w:r>
      <w:proofErr w:type="spellStart"/>
      <w:r>
        <w:rPr>
          <w:rFonts w:eastAsia="Times New Roman"/>
          <w:color w:val="000000"/>
          <w:szCs w:val="28"/>
          <w:u w:val="single"/>
        </w:rPr>
        <w:t>затверджена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r w:rsidR="00266C27">
        <w:rPr>
          <w:rFonts w:eastAsia="Times New Roman"/>
          <w:color w:val="000000"/>
          <w:szCs w:val="28"/>
          <w:u w:val="single"/>
          <w:lang w:val="uk-UA"/>
        </w:rPr>
        <w:t xml:space="preserve">рішенням 42 сесії </w:t>
      </w:r>
      <w:proofErr w:type="spellStart"/>
      <w:r>
        <w:rPr>
          <w:rFonts w:eastAsia="Times New Roman"/>
          <w:color w:val="000000"/>
          <w:szCs w:val="28"/>
          <w:u w:val="single"/>
        </w:rPr>
        <w:t>Вінницько</w:t>
      </w:r>
      <w:proofErr w:type="spellEnd"/>
      <w:r w:rsidR="00266C27">
        <w:rPr>
          <w:rFonts w:eastAsia="Times New Roman"/>
          <w:color w:val="000000"/>
          <w:szCs w:val="28"/>
          <w:u w:val="single"/>
          <w:lang w:val="uk-UA"/>
        </w:rPr>
        <w:t>ї</w:t>
      </w:r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обласно</w:t>
      </w:r>
      <w:proofErr w:type="spellEnd"/>
      <w:r w:rsidR="00266C27">
        <w:rPr>
          <w:rFonts w:eastAsia="Times New Roman"/>
          <w:color w:val="000000"/>
          <w:szCs w:val="28"/>
          <w:u w:val="single"/>
          <w:lang w:val="uk-UA"/>
        </w:rPr>
        <w:t>ї</w:t>
      </w:r>
      <w:r>
        <w:rPr>
          <w:rFonts w:eastAsia="Times New Roman"/>
          <w:color w:val="000000"/>
          <w:szCs w:val="28"/>
          <w:u w:val="single"/>
        </w:rPr>
        <w:t xml:space="preserve"> рад</w:t>
      </w:r>
      <w:r w:rsidR="00266C27">
        <w:rPr>
          <w:rFonts w:eastAsia="Times New Roman"/>
          <w:color w:val="000000"/>
          <w:szCs w:val="28"/>
          <w:u w:val="single"/>
          <w:lang w:val="uk-UA"/>
        </w:rPr>
        <w:t xml:space="preserve">и 7 </w:t>
      </w:r>
      <w:proofErr w:type="gramStart"/>
      <w:r w:rsidR="00266C27">
        <w:rPr>
          <w:rFonts w:eastAsia="Times New Roman"/>
          <w:color w:val="000000"/>
          <w:szCs w:val="28"/>
          <w:u w:val="single"/>
          <w:lang w:val="uk-UA"/>
        </w:rPr>
        <w:t>скликання</w:t>
      </w:r>
      <w:r>
        <w:rPr>
          <w:rFonts w:eastAsia="Times New Roman"/>
          <w:color w:val="000000"/>
          <w:szCs w:val="28"/>
          <w:u w:val="single"/>
        </w:rPr>
        <w:t xml:space="preserve"> </w:t>
      </w:r>
      <w:r w:rsidR="00266C27">
        <w:rPr>
          <w:rFonts w:eastAsia="Times New Roman"/>
          <w:color w:val="000000"/>
          <w:szCs w:val="28"/>
          <w:u w:val="single"/>
          <w:lang w:val="uk-UA"/>
        </w:rPr>
        <w:t xml:space="preserve"> </w:t>
      </w:r>
      <w:proofErr w:type="spellStart"/>
      <w:r w:rsidR="00266C27">
        <w:rPr>
          <w:rFonts w:eastAsia="Times New Roman"/>
          <w:color w:val="000000"/>
          <w:szCs w:val="28"/>
          <w:u w:val="single"/>
        </w:rPr>
        <w:t>від</w:t>
      </w:r>
      <w:proofErr w:type="spellEnd"/>
      <w:proofErr w:type="gramEnd"/>
      <w:r w:rsidR="00266C27">
        <w:rPr>
          <w:rFonts w:eastAsia="Times New Roman"/>
          <w:color w:val="000000"/>
          <w:szCs w:val="28"/>
          <w:u w:val="single"/>
        </w:rPr>
        <w:t xml:space="preserve"> 21 лютого 2020 року </w:t>
      </w:r>
      <w:r>
        <w:rPr>
          <w:rFonts w:eastAsia="Times New Roman"/>
          <w:color w:val="000000"/>
          <w:szCs w:val="28"/>
          <w:u w:val="single"/>
        </w:rPr>
        <w:t>№921.</w:t>
      </w:r>
    </w:p>
    <w:p w14:paraId="029DA565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Cs w:val="28"/>
        </w:rPr>
        <w:t>Програма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відповідає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цілі</w:t>
      </w:r>
      <w:proofErr w:type="spellEnd"/>
      <w:r>
        <w:rPr>
          <w:rFonts w:eastAsia="Times New Roman"/>
          <w:color w:val="000000"/>
          <w:szCs w:val="28"/>
        </w:rPr>
        <w:t xml:space="preserve"> 1 «</w:t>
      </w:r>
      <w:proofErr w:type="spellStart"/>
      <w:r>
        <w:rPr>
          <w:rFonts w:eastAsia="Times New Roman"/>
          <w:color w:val="000000"/>
          <w:szCs w:val="28"/>
        </w:rPr>
        <w:t>Конкурентноздатний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регіон</w:t>
      </w:r>
      <w:proofErr w:type="spellEnd"/>
      <w:r>
        <w:rPr>
          <w:rFonts w:eastAsia="Times New Roman"/>
          <w:color w:val="000000"/>
          <w:szCs w:val="28"/>
        </w:rPr>
        <w:t xml:space="preserve"> на </w:t>
      </w:r>
      <w:proofErr w:type="spellStart"/>
      <w:r>
        <w:rPr>
          <w:rFonts w:eastAsia="Times New Roman"/>
          <w:color w:val="000000"/>
          <w:szCs w:val="28"/>
        </w:rPr>
        <w:t>основі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інноваційного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сталого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» та </w:t>
      </w:r>
      <w:proofErr w:type="spellStart"/>
      <w:r>
        <w:rPr>
          <w:rFonts w:eastAsia="Times New Roman"/>
          <w:color w:val="000000"/>
          <w:szCs w:val="28"/>
        </w:rPr>
        <w:t>цілі</w:t>
      </w:r>
      <w:proofErr w:type="spellEnd"/>
      <w:r>
        <w:rPr>
          <w:rFonts w:eastAsia="Times New Roman"/>
          <w:color w:val="000000"/>
          <w:szCs w:val="28"/>
        </w:rPr>
        <w:t xml:space="preserve"> 5 «</w:t>
      </w:r>
      <w:proofErr w:type="spellStart"/>
      <w:r>
        <w:rPr>
          <w:rFonts w:eastAsia="Times New Roman"/>
          <w:color w:val="000000"/>
          <w:szCs w:val="28"/>
        </w:rPr>
        <w:t>Регіон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безпечного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середовища</w:t>
      </w:r>
      <w:proofErr w:type="spellEnd"/>
      <w:r>
        <w:rPr>
          <w:rFonts w:eastAsia="Times New Roman"/>
          <w:color w:val="000000"/>
          <w:szCs w:val="28"/>
        </w:rPr>
        <w:t>».</w:t>
      </w:r>
    </w:p>
    <w:p w14:paraId="74DEBC4D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u w:val="single"/>
        </w:rPr>
        <w:t xml:space="preserve">«Про </w:t>
      </w:r>
      <w:proofErr w:type="spellStart"/>
      <w:r>
        <w:rPr>
          <w:rFonts w:eastAsia="Times New Roman"/>
          <w:color w:val="000000"/>
          <w:szCs w:val="28"/>
          <w:u w:val="single"/>
        </w:rPr>
        <w:t>схвалення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Стратегії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розвитку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галузі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рибного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господарства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України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на </w:t>
      </w:r>
      <w:proofErr w:type="spellStart"/>
      <w:r>
        <w:rPr>
          <w:rFonts w:eastAsia="Times New Roman"/>
          <w:color w:val="000000"/>
          <w:szCs w:val="28"/>
          <w:u w:val="single"/>
        </w:rPr>
        <w:t>період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до 2030 року та </w:t>
      </w:r>
      <w:proofErr w:type="spellStart"/>
      <w:r>
        <w:rPr>
          <w:rFonts w:eastAsia="Times New Roman"/>
          <w:color w:val="000000"/>
          <w:szCs w:val="28"/>
          <w:u w:val="single"/>
        </w:rPr>
        <w:t>затвердження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операційного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плану </w:t>
      </w:r>
      <w:proofErr w:type="spellStart"/>
      <w:r>
        <w:rPr>
          <w:rFonts w:eastAsia="Times New Roman"/>
          <w:color w:val="000000"/>
          <w:szCs w:val="28"/>
          <w:u w:val="single"/>
        </w:rPr>
        <w:t>заходів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з </w:t>
      </w:r>
      <w:proofErr w:type="spellStart"/>
      <w:r>
        <w:rPr>
          <w:rFonts w:eastAsia="Times New Roman"/>
          <w:color w:val="000000"/>
          <w:szCs w:val="28"/>
          <w:u w:val="single"/>
        </w:rPr>
        <w:t>її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реалізації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у 2023-2025 роках»,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затверджена</w:t>
      </w:r>
      <w:proofErr w:type="spellEnd"/>
      <w:r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розпорядженням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Кабінету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Міністрів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України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02 </w:t>
      </w:r>
      <w:proofErr w:type="spellStart"/>
      <w:r>
        <w:rPr>
          <w:rFonts w:eastAsia="Times New Roman"/>
          <w:color w:val="000000"/>
          <w:szCs w:val="28"/>
          <w:u w:val="single"/>
        </w:rPr>
        <w:t>травня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2023 року № 402-р.</w:t>
      </w:r>
    </w:p>
    <w:p w14:paraId="1FEAC10D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</w:rPr>
        <w:t xml:space="preserve">Метою </w:t>
      </w:r>
      <w:proofErr w:type="spellStart"/>
      <w:r>
        <w:rPr>
          <w:rFonts w:eastAsia="Times New Roman"/>
          <w:color w:val="000000"/>
          <w:szCs w:val="28"/>
        </w:rPr>
        <w:t>розроблення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Стратегії</w:t>
      </w:r>
      <w:proofErr w:type="spellEnd"/>
      <w:r>
        <w:rPr>
          <w:rFonts w:eastAsia="Times New Roman"/>
          <w:color w:val="000000"/>
          <w:szCs w:val="28"/>
        </w:rPr>
        <w:t xml:space="preserve"> є </w:t>
      </w:r>
      <w:proofErr w:type="spellStart"/>
      <w:r>
        <w:rPr>
          <w:rFonts w:eastAsia="Times New Roman"/>
          <w:color w:val="000000"/>
          <w:szCs w:val="28"/>
        </w:rPr>
        <w:t>забезпечення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сталого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галузі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рибного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господарства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далі</w:t>
      </w:r>
      <w:proofErr w:type="spellEnd"/>
      <w:r>
        <w:rPr>
          <w:rFonts w:eastAsia="Times New Roman"/>
          <w:color w:val="000000"/>
          <w:szCs w:val="28"/>
        </w:rPr>
        <w:t xml:space="preserve"> - </w:t>
      </w:r>
      <w:proofErr w:type="spellStart"/>
      <w:r>
        <w:rPr>
          <w:rFonts w:eastAsia="Times New Roman"/>
          <w:color w:val="000000"/>
          <w:szCs w:val="28"/>
        </w:rPr>
        <w:t>галузь</w:t>
      </w:r>
      <w:proofErr w:type="spellEnd"/>
      <w:r>
        <w:rPr>
          <w:rFonts w:eastAsia="Times New Roman"/>
          <w:color w:val="000000"/>
          <w:szCs w:val="28"/>
        </w:rPr>
        <w:t xml:space="preserve">) в </w:t>
      </w:r>
      <w:proofErr w:type="spellStart"/>
      <w:r>
        <w:rPr>
          <w:rFonts w:eastAsia="Times New Roman"/>
          <w:color w:val="000000"/>
          <w:szCs w:val="28"/>
        </w:rPr>
        <w:t>умовах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зміни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клімату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збереження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природних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запасів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біоресурсів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зменшення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імпортозалежності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галузі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підвищення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її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конкурентоспроможного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потенціалу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створення</w:t>
      </w:r>
      <w:proofErr w:type="spellEnd"/>
      <w:r>
        <w:rPr>
          <w:rFonts w:eastAsia="Times New Roman"/>
          <w:color w:val="000000"/>
          <w:szCs w:val="28"/>
        </w:rPr>
        <w:t xml:space="preserve"> умов для </w:t>
      </w:r>
      <w:proofErr w:type="spellStart"/>
      <w:r>
        <w:rPr>
          <w:rFonts w:eastAsia="Times New Roman"/>
          <w:color w:val="000000"/>
          <w:szCs w:val="28"/>
        </w:rPr>
        <w:t>інвестиційного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, а </w:t>
      </w:r>
      <w:proofErr w:type="spellStart"/>
      <w:r>
        <w:rPr>
          <w:rFonts w:eastAsia="Times New Roman"/>
          <w:color w:val="000000"/>
          <w:szCs w:val="28"/>
        </w:rPr>
        <w:t>також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збільшення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виробництва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біоресурсів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виробленої</w:t>
      </w:r>
      <w:proofErr w:type="spellEnd"/>
      <w:r>
        <w:rPr>
          <w:rFonts w:eastAsia="Times New Roman"/>
          <w:color w:val="000000"/>
          <w:szCs w:val="28"/>
        </w:rPr>
        <w:t xml:space="preserve"> з них </w:t>
      </w:r>
      <w:proofErr w:type="spellStart"/>
      <w:r>
        <w:rPr>
          <w:rFonts w:eastAsia="Times New Roman"/>
          <w:color w:val="000000"/>
          <w:szCs w:val="28"/>
        </w:rPr>
        <w:t>продукції</w:t>
      </w:r>
      <w:proofErr w:type="spellEnd"/>
      <w:r>
        <w:rPr>
          <w:rFonts w:eastAsia="Times New Roman"/>
          <w:color w:val="000000"/>
          <w:szCs w:val="28"/>
        </w:rPr>
        <w:t xml:space="preserve"> шляхом </w:t>
      </w:r>
      <w:proofErr w:type="spellStart"/>
      <w:r>
        <w:rPr>
          <w:rFonts w:eastAsia="Times New Roman"/>
          <w:color w:val="000000"/>
          <w:szCs w:val="28"/>
        </w:rPr>
        <w:t>покращення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екологічного</w:t>
      </w:r>
      <w:proofErr w:type="spellEnd"/>
      <w:r>
        <w:rPr>
          <w:rFonts w:eastAsia="Times New Roman"/>
          <w:color w:val="000000"/>
          <w:szCs w:val="28"/>
        </w:rPr>
        <w:t xml:space="preserve"> стану </w:t>
      </w:r>
      <w:proofErr w:type="spellStart"/>
      <w:r>
        <w:rPr>
          <w:rFonts w:eastAsia="Times New Roman"/>
          <w:color w:val="000000"/>
          <w:szCs w:val="28"/>
        </w:rPr>
        <w:t>рибогосподарських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об’єктів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їх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частин</w:t>
      </w:r>
      <w:proofErr w:type="spellEnd"/>
      <w:r>
        <w:rPr>
          <w:rFonts w:eastAsia="Times New Roman"/>
          <w:color w:val="000000"/>
          <w:szCs w:val="28"/>
        </w:rPr>
        <w:t xml:space="preserve">) та </w:t>
      </w:r>
      <w:proofErr w:type="spellStart"/>
      <w:r>
        <w:rPr>
          <w:rFonts w:eastAsia="Times New Roman"/>
          <w:color w:val="000000"/>
          <w:szCs w:val="28"/>
        </w:rPr>
        <w:t>збалансованості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економічних</w:t>
      </w:r>
      <w:proofErr w:type="spellEnd"/>
      <w:r>
        <w:rPr>
          <w:rFonts w:eastAsia="Times New Roman"/>
          <w:color w:val="000000"/>
          <w:szCs w:val="28"/>
        </w:rPr>
        <w:t xml:space="preserve"> і </w:t>
      </w:r>
      <w:proofErr w:type="spellStart"/>
      <w:r>
        <w:rPr>
          <w:rFonts w:eastAsia="Times New Roman"/>
          <w:color w:val="000000"/>
          <w:szCs w:val="28"/>
        </w:rPr>
        <w:t>соціальних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інтересів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0BFCC97F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Cs w:val="28"/>
        </w:rPr>
        <w:t>Стратегія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розроблена</w:t>
      </w:r>
      <w:proofErr w:type="spellEnd"/>
      <w:r>
        <w:rPr>
          <w:rFonts w:eastAsia="Times New Roman"/>
          <w:color w:val="000000"/>
          <w:szCs w:val="28"/>
        </w:rPr>
        <w:t xml:space="preserve"> з </w:t>
      </w:r>
      <w:proofErr w:type="spellStart"/>
      <w:r>
        <w:rPr>
          <w:rFonts w:eastAsia="Times New Roman"/>
          <w:color w:val="000000"/>
          <w:szCs w:val="28"/>
        </w:rPr>
        <w:t>урахуванням</w:t>
      </w:r>
      <w:proofErr w:type="spellEnd"/>
      <w:r>
        <w:rPr>
          <w:rFonts w:eastAsia="Times New Roman"/>
          <w:color w:val="000000"/>
          <w:szCs w:val="28"/>
        </w:rPr>
        <w:t xml:space="preserve"> потреби в </w:t>
      </w:r>
      <w:proofErr w:type="spellStart"/>
      <w:r>
        <w:rPr>
          <w:rFonts w:eastAsia="Times New Roman"/>
          <w:color w:val="000000"/>
          <w:szCs w:val="28"/>
        </w:rPr>
        <w:t>змінах</w:t>
      </w:r>
      <w:proofErr w:type="spellEnd"/>
      <w:r>
        <w:rPr>
          <w:rFonts w:eastAsia="Times New Roman"/>
          <w:color w:val="000000"/>
          <w:szCs w:val="28"/>
        </w:rPr>
        <w:t xml:space="preserve"> в </w:t>
      </w:r>
      <w:proofErr w:type="spellStart"/>
      <w:r>
        <w:rPr>
          <w:rFonts w:eastAsia="Times New Roman"/>
          <w:color w:val="000000"/>
          <w:szCs w:val="28"/>
        </w:rPr>
        <w:t>реалізації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державної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політики</w:t>
      </w:r>
      <w:proofErr w:type="spellEnd"/>
      <w:r>
        <w:rPr>
          <w:rFonts w:eastAsia="Times New Roman"/>
          <w:color w:val="000000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Cs w:val="28"/>
        </w:rPr>
        <w:t>галузі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зокрема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щодо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міжнародних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зобов’язань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7BCAC255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Cs w:val="28"/>
        </w:rPr>
        <w:t>Стратегія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визначає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пріоритетні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цілі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завдання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спрямовані</w:t>
      </w:r>
      <w:proofErr w:type="spellEnd"/>
      <w:r>
        <w:rPr>
          <w:rFonts w:eastAsia="Times New Roman"/>
          <w:color w:val="000000"/>
          <w:szCs w:val="28"/>
        </w:rPr>
        <w:t xml:space="preserve"> на </w:t>
      </w:r>
      <w:proofErr w:type="spellStart"/>
      <w:r>
        <w:rPr>
          <w:rFonts w:eastAsia="Times New Roman"/>
          <w:color w:val="000000"/>
          <w:szCs w:val="28"/>
        </w:rPr>
        <w:t>розв’язання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економічних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екологічних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соціальних</w:t>
      </w:r>
      <w:proofErr w:type="spellEnd"/>
      <w:r>
        <w:rPr>
          <w:rFonts w:eastAsia="Times New Roman"/>
          <w:color w:val="000000"/>
          <w:szCs w:val="28"/>
        </w:rPr>
        <w:t xml:space="preserve"> проблем, </w:t>
      </w:r>
      <w:proofErr w:type="spellStart"/>
      <w:r>
        <w:rPr>
          <w:rFonts w:eastAsia="Times New Roman"/>
          <w:color w:val="000000"/>
          <w:szCs w:val="28"/>
        </w:rPr>
        <w:t>виконання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яких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дасть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можливість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удосконалити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державну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політику</w:t>
      </w:r>
      <w:proofErr w:type="spellEnd"/>
      <w:r>
        <w:rPr>
          <w:rFonts w:eastAsia="Times New Roman"/>
          <w:color w:val="000000"/>
          <w:szCs w:val="28"/>
        </w:rPr>
        <w:t xml:space="preserve"> в </w:t>
      </w:r>
      <w:proofErr w:type="spellStart"/>
      <w:r>
        <w:rPr>
          <w:rFonts w:eastAsia="Times New Roman"/>
          <w:color w:val="000000"/>
          <w:szCs w:val="28"/>
        </w:rPr>
        <w:t>галузі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створити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сприятливі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умови</w:t>
      </w:r>
      <w:proofErr w:type="spellEnd"/>
      <w:r>
        <w:rPr>
          <w:rFonts w:eastAsia="Times New Roman"/>
          <w:color w:val="000000"/>
          <w:szCs w:val="28"/>
        </w:rPr>
        <w:t xml:space="preserve"> для </w:t>
      </w:r>
      <w:proofErr w:type="spellStart"/>
      <w:r>
        <w:rPr>
          <w:rFonts w:eastAsia="Times New Roman"/>
          <w:color w:val="000000"/>
          <w:szCs w:val="28"/>
        </w:rPr>
        <w:t>збільшення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обсягів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добування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вилову</w:t>
      </w:r>
      <w:proofErr w:type="spellEnd"/>
      <w:r>
        <w:rPr>
          <w:rFonts w:eastAsia="Times New Roman"/>
          <w:color w:val="000000"/>
          <w:szCs w:val="28"/>
        </w:rPr>
        <w:t xml:space="preserve">)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біоресурсів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підвищити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біопродуктивність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внутрішніх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рибогосподарських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об’єктів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їх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частин</w:t>
      </w:r>
      <w:proofErr w:type="spellEnd"/>
      <w:r>
        <w:rPr>
          <w:rFonts w:eastAsia="Times New Roman"/>
          <w:color w:val="000000"/>
          <w:szCs w:val="28"/>
        </w:rPr>
        <w:t xml:space="preserve">), </w:t>
      </w:r>
      <w:proofErr w:type="spellStart"/>
      <w:r>
        <w:rPr>
          <w:rFonts w:eastAsia="Times New Roman"/>
          <w:color w:val="000000"/>
          <w:szCs w:val="28"/>
        </w:rPr>
        <w:t>внутрішніх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морських</w:t>
      </w:r>
      <w:proofErr w:type="spellEnd"/>
      <w:r>
        <w:rPr>
          <w:rFonts w:eastAsia="Times New Roman"/>
          <w:color w:val="000000"/>
          <w:szCs w:val="28"/>
        </w:rPr>
        <w:t xml:space="preserve"> вод і </w:t>
      </w:r>
      <w:proofErr w:type="spellStart"/>
      <w:r>
        <w:rPr>
          <w:rFonts w:eastAsia="Times New Roman"/>
          <w:color w:val="000000"/>
          <w:szCs w:val="28"/>
        </w:rPr>
        <w:t>територіального</w:t>
      </w:r>
      <w:proofErr w:type="spellEnd"/>
      <w:r>
        <w:rPr>
          <w:rFonts w:eastAsia="Times New Roman"/>
          <w:color w:val="000000"/>
          <w:szCs w:val="28"/>
        </w:rPr>
        <w:t xml:space="preserve"> моря, </w:t>
      </w:r>
      <w:proofErr w:type="spellStart"/>
      <w:r>
        <w:rPr>
          <w:rFonts w:eastAsia="Times New Roman"/>
          <w:color w:val="000000"/>
          <w:szCs w:val="28"/>
        </w:rPr>
        <w:t>наростити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виробництво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водних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біоресурсів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виробленої</w:t>
      </w:r>
      <w:proofErr w:type="spellEnd"/>
      <w:r>
        <w:rPr>
          <w:rFonts w:eastAsia="Times New Roman"/>
          <w:color w:val="000000"/>
          <w:szCs w:val="28"/>
        </w:rPr>
        <w:t xml:space="preserve"> з них </w:t>
      </w:r>
      <w:proofErr w:type="spellStart"/>
      <w:r>
        <w:rPr>
          <w:rFonts w:eastAsia="Times New Roman"/>
          <w:color w:val="000000"/>
          <w:szCs w:val="28"/>
        </w:rPr>
        <w:t>продукції</w:t>
      </w:r>
      <w:proofErr w:type="spellEnd"/>
      <w:r>
        <w:rPr>
          <w:rFonts w:eastAsia="Times New Roman"/>
          <w:color w:val="000000"/>
          <w:szCs w:val="28"/>
        </w:rPr>
        <w:t xml:space="preserve"> з метою </w:t>
      </w:r>
      <w:proofErr w:type="spellStart"/>
      <w:r>
        <w:rPr>
          <w:rFonts w:eastAsia="Times New Roman"/>
          <w:color w:val="000000"/>
          <w:szCs w:val="28"/>
        </w:rPr>
        <w:t>гарантування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продовольчої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безпеки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держави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C8E35BC" w14:textId="77777777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u w:val="single"/>
        </w:rPr>
        <w:t xml:space="preserve">Схема </w:t>
      </w:r>
      <w:proofErr w:type="spellStart"/>
      <w:r>
        <w:rPr>
          <w:rFonts w:eastAsia="Times New Roman"/>
          <w:color w:val="000000"/>
          <w:szCs w:val="28"/>
          <w:u w:val="single"/>
        </w:rPr>
        <w:t>екомережі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Вінницької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області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, </w:t>
      </w:r>
      <w:proofErr w:type="spellStart"/>
      <w:r>
        <w:rPr>
          <w:rFonts w:eastAsia="Times New Roman"/>
          <w:color w:val="000000"/>
          <w:szCs w:val="28"/>
          <w:u w:val="single"/>
        </w:rPr>
        <w:t>затверджена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рішенням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10 </w:t>
      </w:r>
      <w:proofErr w:type="spellStart"/>
      <w:r>
        <w:rPr>
          <w:rFonts w:eastAsia="Times New Roman"/>
          <w:color w:val="000000"/>
          <w:szCs w:val="28"/>
          <w:u w:val="single"/>
        </w:rPr>
        <w:t>сесії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Вінницької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обласної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ради 6 </w:t>
      </w:r>
      <w:proofErr w:type="spellStart"/>
      <w:r>
        <w:rPr>
          <w:rFonts w:eastAsia="Times New Roman"/>
          <w:color w:val="000000"/>
          <w:szCs w:val="28"/>
          <w:u w:val="single"/>
        </w:rPr>
        <w:t>скликання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14.02.2012 р. №282 «Про </w:t>
      </w:r>
      <w:proofErr w:type="spellStart"/>
      <w:r>
        <w:rPr>
          <w:rFonts w:eastAsia="Times New Roman"/>
          <w:color w:val="000000"/>
          <w:szCs w:val="28"/>
          <w:u w:val="single"/>
        </w:rPr>
        <w:t>затвердження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регіональної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екологічної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мережі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Вінницької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області</w:t>
      </w:r>
      <w:proofErr w:type="spellEnd"/>
      <w:r>
        <w:rPr>
          <w:rFonts w:eastAsia="Times New Roman"/>
          <w:color w:val="000000"/>
          <w:szCs w:val="28"/>
          <w:u w:val="single"/>
        </w:rPr>
        <w:t>».</w:t>
      </w:r>
    </w:p>
    <w:p w14:paraId="66B034B4" w14:textId="353A5A38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u w:val="single"/>
        </w:rPr>
        <w:lastRenderedPageBreak/>
        <w:t>«</w:t>
      </w:r>
      <w:proofErr w:type="spellStart"/>
      <w:r>
        <w:rPr>
          <w:rFonts w:eastAsia="Times New Roman"/>
          <w:color w:val="000000"/>
          <w:szCs w:val="28"/>
          <w:u w:val="single"/>
        </w:rPr>
        <w:t>Основні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засади (</w:t>
      </w:r>
      <w:proofErr w:type="spellStart"/>
      <w:r>
        <w:rPr>
          <w:rFonts w:eastAsia="Times New Roman"/>
          <w:color w:val="000000"/>
          <w:szCs w:val="28"/>
          <w:u w:val="single"/>
        </w:rPr>
        <w:t>стратегія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) </w:t>
      </w:r>
      <w:proofErr w:type="spellStart"/>
      <w:r>
        <w:rPr>
          <w:rFonts w:eastAsia="Times New Roman"/>
          <w:color w:val="000000"/>
          <w:szCs w:val="28"/>
          <w:u w:val="single"/>
        </w:rPr>
        <w:t>державної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екологічної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політики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України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на </w:t>
      </w:r>
      <w:proofErr w:type="spellStart"/>
      <w:r>
        <w:rPr>
          <w:rFonts w:eastAsia="Times New Roman"/>
          <w:color w:val="000000"/>
          <w:szCs w:val="28"/>
          <w:u w:val="single"/>
        </w:rPr>
        <w:t>період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до 2030 року»</w:t>
      </w:r>
      <w:r w:rsidR="00E95C39">
        <w:rPr>
          <w:rFonts w:eastAsia="Times New Roman"/>
          <w:color w:val="000000"/>
          <w:szCs w:val="28"/>
          <w:lang w:val="uk-UA"/>
        </w:rPr>
        <w:t>.</w:t>
      </w:r>
      <w:r>
        <w:rPr>
          <w:rFonts w:eastAsia="Times New Roman"/>
          <w:color w:val="000000"/>
          <w:szCs w:val="28"/>
        </w:rPr>
        <w:t xml:space="preserve"> </w:t>
      </w:r>
      <w:r w:rsidR="00E95C39">
        <w:rPr>
          <w:rFonts w:eastAsia="Times New Roman"/>
          <w:color w:val="000000"/>
          <w:szCs w:val="28"/>
          <w:lang w:val="uk-UA"/>
        </w:rPr>
        <w:t>З</w:t>
      </w:r>
      <w:proofErr w:type="spellStart"/>
      <w:r>
        <w:rPr>
          <w:rFonts w:eastAsia="Times New Roman"/>
          <w:color w:val="000000"/>
          <w:szCs w:val="28"/>
        </w:rPr>
        <w:t>абезпечення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реалізації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Стратегії</w:t>
      </w:r>
      <w:proofErr w:type="spellEnd"/>
      <w:r>
        <w:rPr>
          <w:rFonts w:eastAsia="Times New Roman"/>
          <w:color w:val="000000"/>
          <w:szCs w:val="28"/>
        </w:rPr>
        <w:t xml:space="preserve"> у ДДП </w:t>
      </w:r>
      <w:proofErr w:type="spellStart"/>
      <w:r>
        <w:rPr>
          <w:rFonts w:eastAsia="Times New Roman"/>
          <w:color w:val="000000"/>
          <w:szCs w:val="28"/>
        </w:rPr>
        <w:t>досягається</w:t>
      </w:r>
      <w:proofErr w:type="spellEnd"/>
      <w:r>
        <w:rPr>
          <w:rFonts w:eastAsia="Times New Roman"/>
          <w:color w:val="000000"/>
          <w:szCs w:val="28"/>
        </w:rPr>
        <w:t xml:space="preserve"> за </w:t>
      </w:r>
      <w:proofErr w:type="spellStart"/>
      <w:r>
        <w:rPr>
          <w:rFonts w:eastAsia="Times New Roman"/>
          <w:color w:val="000000"/>
          <w:szCs w:val="28"/>
        </w:rPr>
        <w:t>рахунок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сприяння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збалансованому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сталому</w:t>
      </w:r>
      <w:proofErr w:type="spellEnd"/>
      <w:r>
        <w:rPr>
          <w:rFonts w:eastAsia="Times New Roman"/>
          <w:color w:val="000000"/>
          <w:szCs w:val="28"/>
        </w:rPr>
        <w:t xml:space="preserve">)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 шляхом </w:t>
      </w:r>
      <w:proofErr w:type="spellStart"/>
      <w:r>
        <w:rPr>
          <w:rFonts w:eastAsia="Times New Roman"/>
          <w:color w:val="000000"/>
          <w:szCs w:val="28"/>
        </w:rPr>
        <w:t>досягнення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збалансованості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складових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економічної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екологічної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соціальної</w:t>
      </w:r>
      <w:proofErr w:type="spellEnd"/>
      <w:r>
        <w:rPr>
          <w:rFonts w:eastAsia="Times New Roman"/>
          <w:color w:val="000000"/>
          <w:szCs w:val="28"/>
        </w:rPr>
        <w:t xml:space="preserve">), </w:t>
      </w:r>
      <w:proofErr w:type="spellStart"/>
      <w:r>
        <w:rPr>
          <w:rFonts w:eastAsia="Times New Roman"/>
          <w:color w:val="000000"/>
          <w:szCs w:val="28"/>
        </w:rPr>
        <w:t>орієнтування</w:t>
      </w:r>
      <w:proofErr w:type="spellEnd"/>
      <w:r>
        <w:rPr>
          <w:rFonts w:eastAsia="Times New Roman"/>
          <w:color w:val="000000"/>
          <w:szCs w:val="28"/>
        </w:rPr>
        <w:t xml:space="preserve"> на </w:t>
      </w:r>
      <w:proofErr w:type="spellStart"/>
      <w:r>
        <w:rPr>
          <w:rFonts w:eastAsia="Times New Roman"/>
          <w:color w:val="000000"/>
          <w:szCs w:val="28"/>
        </w:rPr>
        <w:t>пріоритети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збалансованого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сталого</w:t>
      </w:r>
      <w:proofErr w:type="spellEnd"/>
      <w:r>
        <w:rPr>
          <w:rFonts w:eastAsia="Times New Roman"/>
          <w:color w:val="000000"/>
          <w:szCs w:val="28"/>
        </w:rPr>
        <w:t xml:space="preserve">)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інтегрування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екологічних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вимог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під</w:t>
      </w:r>
      <w:proofErr w:type="spellEnd"/>
      <w:r>
        <w:rPr>
          <w:rFonts w:eastAsia="Times New Roman"/>
          <w:color w:val="000000"/>
          <w:szCs w:val="28"/>
        </w:rPr>
        <w:t xml:space="preserve"> час </w:t>
      </w:r>
      <w:proofErr w:type="spellStart"/>
      <w:r>
        <w:rPr>
          <w:rFonts w:eastAsia="Times New Roman"/>
          <w:color w:val="000000"/>
          <w:szCs w:val="28"/>
        </w:rPr>
        <w:t>розроблення</w:t>
      </w:r>
      <w:proofErr w:type="spellEnd"/>
      <w:r>
        <w:rPr>
          <w:rFonts w:eastAsia="Times New Roman"/>
          <w:color w:val="000000"/>
          <w:szCs w:val="28"/>
        </w:rPr>
        <w:t xml:space="preserve"> і </w:t>
      </w:r>
      <w:proofErr w:type="spellStart"/>
      <w:r>
        <w:rPr>
          <w:rFonts w:eastAsia="Times New Roman"/>
          <w:color w:val="000000"/>
          <w:szCs w:val="28"/>
        </w:rPr>
        <w:t>затвердження</w:t>
      </w:r>
      <w:proofErr w:type="spellEnd"/>
      <w:r>
        <w:rPr>
          <w:rFonts w:eastAsia="Times New Roman"/>
          <w:color w:val="000000"/>
          <w:szCs w:val="28"/>
        </w:rPr>
        <w:t xml:space="preserve"> ДДП, </w:t>
      </w:r>
      <w:proofErr w:type="spellStart"/>
      <w:r>
        <w:rPr>
          <w:rFonts w:eastAsia="Times New Roman"/>
          <w:color w:val="000000"/>
          <w:szCs w:val="28"/>
        </w:rPr>
        <w:t>запобігання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виникненню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надзвичайних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ситуацій</w:t>
      </w:r>
      <w:proofErr w:type="spellEnd"/>
      <w:r>
        <w:rPr>
          <w:rFonts w:eastAsia="Times New Roman"/>
          <w:color w:val="000000"/>
          <w:szCs w:val="28"/>
        </w:rPr>
        <w:t xml:space="preserve"> природного та техногенного характеру, </w:t>
      </w:r>
      <w:proofErr w:type="spellStart"/>
      <w:r>
        <w:rPr>
          <w:rFonts w:eastAsia="Times New Roman"/>
          <w:color w:val="000000"/>
          <w:szCs w:val="28"/>
        </w:rPr>
        <w:t>що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передбачає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аналіз</w:t>
      </w:r>
      <w:proofErr w:type="spellEnd"/>
      <w:r>
        <w:rPr>
          <w:rFonts w:eastAsia="Times New Roman"/>
          <w:color w:val="000000"/>
          <w:szCs w:val="28"/>
        </w:rPr>
        <w:t xml:space="preserve"> і </w:t>
      </w:r>
      <w:proofErr w:type="spellStart"/>
      <w:r>
        <w:rPr>
          <w:rFonts w:eastAsia="Times New Roman"/>
          <w:color w:val="000000"/>
          <w:szCs w:val="28"/>
        </w:rPr>
        <w:t>прогнозування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екологічних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ризиків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які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ґрунтуються</w:t>
      </w:r>
      <w:proofErr w:type="spellEnd"/>
      <w:r>
        <w:rPr>
          <w:rFonts w:eastAsia="Times New Roman"/>
          <w:color w:val="000000"/>
          <w:szCs w:val="28"/>
        </w:rPr>
        <w:t xml:space="preserve"> на результатах СЕО, </w:t>
      </w:r>
      <w:proofErr w:type="spellStart"/>
      <w:r>
        <w:rPr>
          <w:rFonts w:eastAsia="Times New Roman"/>
          <w:color w:val="000000"/>
          <w:szCs w:val="28"/>
        </w:rPr>
        <w:t>відповідальність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органів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виконавчої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влади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органів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місцевого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самоврядування</w:t>
      </w:r>
      <w:proofErr w:type="spellEnd"/>
      <w:r>
        <w:rPr>
          <w:rFonts w:eastAsia="Times New Roman"/>
          <w:color w:val="000000"/>
          <w:szCs w:val="28"/>
        </w:rPr>
        <w:t xml:space="preserve"> за </w:t>
      </w:r>
      <w:proofErr w:type="spellStart"/>
      <w:r>
        <w:rPr>
          <w:rFonts w:eastAsia="Times New Roman"/>
          <w:color w:val="000000"/>
          <w:szCs w:val="28"/>
        </w:rPr>
        <w:t>доступність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своєчасність</w:t>
      </w:r>
      <w:proofErr w:type="spellEnd"/>
      <w:r>
        <w:rPr>
          <w:rFonts w:eastAsia="Times New Roman"/>
          <w:color w:val="000000"/>
          <w:szCs w:val="28"/>
        </w:rPr>
        <w:t xml:space="preserve"> і </w:t>
      </w:r>
      <w:proofErr w:type="spellStart"/>
      <w:r>
        <w:rPr>
          <w:rFonts w:eastAsia="Times New Roman"/>
          <w:color w:val="000000"/>
          <w:szCs w:val="28"/>
        </w:rPr>
        <w:t>достовірність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екологічної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інформації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10E2BB34" w14:textId="26F7796C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u w:val="single"/>
        </w:rPr>
        <w:t>«</w:t>
      </w:r>
      <w:proofErr w:type="spellStart"/>
      <w:r>
        <w:rPr>
          <w:rFonts w:eastAsia="Times New Roman"/>
          <w:color w:val="000000"/>
          <w:szCs w:val="28"/>
          <w:u w:val="single"/>
        </w:rPr>
        <w:t>Національна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стратегія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управління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відходами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в </w:t>
      </w:r>
      <w:proofErr w:type="spellStart"/>
      <w:r>
        <w:rPr>
          <w:rFonts w:eastAsia="Times New Roman"/>
          <w:color w:val="000000"/>
          <w:szCs w:val="28"/>
          <w:u w:val="single"/>
        </w:rPr>
        <w:t>Україні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до 2030 року»</w:t>
      </w:r>
      <w:r>
        <w:rPr>
          <w:rFonts w:eastAsia="Times New Roman"/>
          <w:color w:val="000000"/>
          <w:szCs w:val="28"/>
        </w:rPr>
        <w:t xml:space="preserve">. </w:t>
      </w:r>
      <w:r w:rsidR="00E95C39">
        <w:rPr>
          <w:rFonts w:eastAsia="Times New Roman"/>
          <w:color w:val="000000"/>
          <w:szCs w:val="28"/>
          <w:lang w:val="uk-UA"/>
        </w:rPr>
        <w:t>У</w:t>
      </w:r>
      <w:r>
        <w:rPr>
          <w:rFonts w:eastAsia="Times New Roman"/>
          <w:color w:val="000000"/>
          <w:szCs w:val="28"/>
        </w:rPr>
        <w:t xml:space="preserve"> ДДП </w:t>
      </w:r>
      <w:proofErr w:type="spellStart"/>
      <w:r>
        <w:rPr>
          <w:rFonts w:eastAsia="Times New Roman"/>
          <w:color w:val="000000"/>
          <w:szCs w:val="28"/>
        </w:rPr>
        <w:t>враховані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принципи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 w:rsidR="00E95C39">
        <w:rPr>
          <w:rFonts w:eastAsia="Times New Roman"/>
          <w:color w:val="000000"/>
          <w:szCs w:val="28"/>
          <w:lang w:val="uk-UA"/>
        </w:rPr>
        <w:t>та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системи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санітарного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очищення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території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які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полягають</w:t>
      </w:r>
      <w:proofErr w:type="spellEnd"/>
      <w:r>
        <w:rPr>
          <w:rFonts w:eastAsia="Times New Roman"/>
          <w:color w:val="000000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Cs w:val="28"/>
        </w:rPr>
        <w:t>збільшенні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обсягу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сортування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переробки</w:t>
      </w:r>
      <w:proofErr w:type="spellEnd"/>
      <w:r>
        <w:rPr>
          <w:rFonts w:eastAsia="Times New Roman"/>
          <w:color w:val="000000"/>
          <w:szCs w:val="28"/>
        </w:rPr>
        <w:t xml:space="preserve"> та повторного </w:t>
      </w:r>
      <w:proofErr w:type="spellStart"/>
      <w:r>
        <w:rPr>
          <w:rFonts w:eastAsia="Times New Roman"/>
          <w:color w:val="000000"/>
          <w:szCs w:val="28"/>
        </w:rPr>
        <w:t>використання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відходів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65347D40" w14:textId="4816686A" w:rsidR="001B00F2" w:rsidRDefault="000A01F2">
      <w:pPr>
        <w:spacing w:before="20" w:after="2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  <w:u w:val="single"/>
        </w:rPr>
        <w:t>«</w:t>
      </w:r>
      <w:proofErr w:type="spellStart"/>
      <w:r>
        <w:rPr>
          <w:rFonts w:eastAsia="Times New Roman"/>
          <w:color w:val="000000"/>
          <w:szCs w:val="28"/>
          <w:u w:val="single"/>
        </w:rPr>
        <w:t>Концепція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реалізації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державної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політики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у </w:t>
      </w:r>
      <w:proofErr w:type="spellStart"/>
      <w:r>
        <w:rPr>
          <w:rFonts w:eastAsia="Times New Roman"/>
          <w:color w:val="000000"/>
          <w:szCs w:val="28"/>
          <w:u w:val="single"/>
        </w:rPr>
        <w:t>сфері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зміни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</w:t>
      </w:r>
      <w:proofErr w:type="spellStart"/>
      <w:r>
        <w:rPr>
          <w:rFonts w:eastAsia="Times New Roman"/>
          <w:color w:val="000000"/>
          <w:szCs w:val="28"/>
          <w:u w:val="single"/>
        </w:rPr>
        <w:t>клімату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на </w:t>
      </w:r>
      <w:proofErr w:type="spellStart"/>
      <w:r>
        <w:rPr>
          <w:rFonts w:eastAsia="Times New Roman"/>
          <w:color w:val="000000"/>
          <w:szCs w:val="28"/>
          <w:u w:val="single"/>
        </w:rPr>
        <w:t>період</w:t>
      </w:r>
      <w:proofErr w:type="spellEnd"/>
      <w:r>
        <w:rPr>
          <w:rFonts w:eastAsia="Times New Roman"/>
          <w:color w:val="000000"/>
          <w:szCs w:val="28"/>
          <w:u w:val="single"/>
        </w:rPr>
        <w:t xml:space="preserve"> до 2030 року»</w:t>
      </w:r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схвалена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Розпорядженням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Кабінету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Міністрів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від</w:t>
      </w:r>
      <w:proofErr w:type="spellEnd"/>
      <w:r>
        <w:rPr>
          <w:rFonts w:eastAsia="Times New Roman"/>
          <w:color w:val="000000"/>
          <w:szCs w:val="28"/>
        </w:rPr>
        <w:t xml:space="preserve"> 7 груд </w:t>
      </w:r>
      <w:proofErr w:type="spellStart"/>
      <w:r>
        <w:rPr>
          <w:rFonts w:eastAsia="Times New Roman"/>
          <w:color w:val="000000"/>
          <w:szCs w:val="28"/>
        </w:rPr>
        <w:t>ня</w:t>
      </w:r>
      <w:proofErr w:type="spellEnd"/>
      <w:r>
        <w:rPr>
          <w:rFonts w:eastAsia="Times New Roman"/>
          <w:color w:val="000000"/>
          <w:szCs w:val="28"/>
        </w:rPr>
        <w:t xml:space="preserve"> 2016 р. № 9 32-р), </w:t>
      </w:r>
      <w:r w:rsidR="00E95C39">
        <w:rPr>
          <w:rFonts w:eastAsia="Times New Roman"/>
          <w:color w:val="000000"/>
          <w:szCs w:val="28"/>
          <w:lang w:val="uk-UA"/>
        </w:rPr>
        <w:t>Р</w:t>
      </w:r>
      <w:proofErr w:type="spellStart"/>
      <w:r>
        <w:rPr>
          <w:rFonts w:eastAsia="Times New Roman"/>
          <w:color w:val="000000"/>
          <w:szCs w:val="28"/>
        </w:rPr>
        <w:t>еалізації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Концепції</w:t>
      </w:r>
      <w:proofErr w:type="spellEnd"/>
      <w:r>
        <w:rPr>
          <w:rFonts w:eastAsia="Times New Roman"/>
          <w:color w:val="000000"/>
          <w:szCs w:val="28"/>
        </w:rPr>
        <w:t xml:space="preserve"> у ДДП </w:t>
      </w:r>
      <w:proofErr w:type="spellStart"/>
      <w:r>
        <w:rPr>
          <w:rFonts w:eastAsia="Times New Roman"/>
          <w:color w:val="000000"/>
          <w:szCs w:val="28"/>
        </w:rPr>
        <w:t>досягається</w:t>
      </w:r>
      <w:proofErr w:type="spellEnd"/>
      <w:r>
        <w:rPr>
          <w:rFonts w:eastAsia="Times New Roman"/>
          <w:color w:val="000000"/>
          <w:szCs w:val="28"/>
        </w:rPr>
        <w:t xml:space="preserve"> за </w:t>
      </w:r>
      <w:proofErr w:type="spellStart"/>
      <w:r>
        <w:rPr>
          <w:rFonts w:eastAsia="Times New Roman"/>
          <w:color w:val="000000"/>
          <w:szCs w:val="28"/>
        </w:rPr>
        <w:t>рахунок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реалізації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державної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політики</w:t>
      </w:r>
      <w:proofErr w:type="spellEnd"/>
      <w:r>
        <w:rPr>
          <w:rFonts w:eastAsia="Times New Roman"/>
          <w:color w:val="000000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Cs w:val="28"/>
        </w:rPr>
        <w:t>сфері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зміни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клімату</w:t>
      </w:r>
      <w:proofErr w:type="spellEnd"/>
      <w:r>
        <w:rPr>
          <w:rFonts w:eastAsia="Times New Roman"/>
          <w:color w:val="000000"/>
          <w:szCs w:val="28"/>
        </w:rPr>
        <w:t xml:space="preserve">, а </w:t>
      </w:r>
      <w:proofErr w:type="spellStart"/>
      <w:r>
        <w:rPr>
          <w:rFonts w:eastAsia="Times New Roman"/>
          <w:color w:val="000000"/>
          <w:szCs w:val="28"/>
        </w:rPr>
        <w:t>саме</w:t>
      </w:r>
      <w:proofErr w:type="spellEnd"/>
      <w:r>
        <w:rPr>
          <w:rFonts w:eastAsia="Times New Roman"/>
          <w:color w:val="000000"/>
          <w:szCs w:val="28"/>
        </w:rPr>
        <w:t xml:space="preserve">: </w:t>
      </w:r>
      <w:proofErr w:type="spellStart"/>
      <w:r>
        <w:rPr>
          <w:rFonts w:eastAsia="Times New Roman"/>
          <w:color w:val="000000"/>
          <w:szCs w:val="28"/>
        </w:rPr>
        <w:t>врахування</w:t>
      </w:r>
      <w:proofErr w:type="spellEnd"/>
      <w:r>
        <w:rPr>
          <w:rFonts w:eastAsia="Times New Roman"/>
          <w:color w:val="000000"/>
          <w:szCs w:val="28"/>
        </w:rPr>
        <w:t xml:space="preserve"> «</w:t>
      </w:r>
      <w:proofErr w:type="spellStart"/>
      <w:r>
        <w:rPr>
          <w:rFonts w:eastAsia="Times New Roman"/>
          <w:color w:val="000000"/>
          <w:szCs w:val="28"/>
        </w:rPr>
        <w:t>Рекомендацій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щодо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включення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кліматичних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питань</w:t>
      </w:r>
      <w:proofErr w:type="spellEnd"/>
      <w:r>
        <w:rPr>
          <w:rFonts w:eastAsia="Times New Roman"/>
          <w:color w:val="000000"/>
          <w:szCs w:val="28"/>
        </w:rPr>
        <w:t xml:space="preserve"> до </w:t>
      </w:r>
      <w:proofErr w:type="spellStart"/>
      <w:r>
        <w:rPr>
          <w:rFonts w:eastAsia="Times New Roman"/>
          <w:color w:val="000000"/>
          <w:szCs w:val="28"/>
        </w:rPr>
        <w:t>документів</w:t>
      </w:r>
      <w:proofErr w:type="spellEnd"/>
      <w:r>
        <w:rPr>
          <w:rFonts w:eastAsia="Times New Roman"/>
          <w:color w:val="000000"/>
          <w:szCs w:val="28"/>
        </w:rPr>
        <w:t xml:space="preserve"> державного </w:t>
      </w:r>
      <w:proofErr w:type="spellStart"/>
      <w:r>
        <w:rPr>
          <w:rFonts w:eastAsia="Times New Roman"/>
          <w:color w:val="000000"/>
          <w:szCs w:val="28"/>
        </w:rPr>
        <w:t>планування</w:t>
      </w:r>
      <w:proofErr w:type="spellEnd"/>
      <w:r>
        <w:rPr>
          <w:rFonts w:eastAsia="Times New Roman"/>
          <w:color w:val="000000"/>
          <w:szCs w:val="28"/>
        </w:rPr>
        <w:t>».</w:t>
      </w:r>
    </w:p>
    <w:p w14:paraId="29B5E568" w14:textId="749E5E54" w:rsidR="001B00F2" w:rsidRDefault="000A01F2">
      <w:pPr>
        <w:spacing w:after="0"/>
        <w:ind w:firstLine="709"/>
        <w:jc w:val="both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не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документ</w:t>
      </w:r>
      <w:r w:rsidR="00E95C39">
        <w:rPr>
          <w:lang w:val="uk-UA"/>
        </w:rPr>
        <w:t>у</w:t>
      </w:r>
      <w:r>
        <w:t xml:space="preserve"> державного </w:t>
      </w:r>
      <w:proofErr w:type="spellStart"/>
      <w:r>
        <w:t>планування</w:t>
      </w:r>
      <w:proofErr w:type="spellEnd"/>
      <w:r>
        <w:t xml:space="preserve"> для </w:t>
      </w:r>
      <w:proofErr w:type="spellStart"/>
      <w:r>
        <w:t>довкілля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14:paraId="4A0A4BB3" w14:textId="0806E068" w:rsidR="007E5B80" w:rsidRDefault="007E5B80">
      <w:pPr>
        <w:spacing w:after="0"/>
        <w:ind w:firstLine="709"/>
        <w:jc w:val="both"/>
      </w:pPr>
    </w:p>
    <w:p w14:paraId="0ADBA91C" w14:textId="27F35AE9" w:rsidR="007E5B80" w:rsidRDefault="007E5B80">
      <w:pPr>
        <w:spacing w:after="0"/>
        <w:ind w:firstLine="709"/>
        <w:jc w:val="both"/>
      </w:pPr>
    </w:p>
    <w:p w14:paraId="3DF357EA" w14:textId="3B80797C" w:rsidR="007E5B80" w:rsidRDefault="007E5B80">
      <w:pPr>
        <w:spacing w:after="0"/>
        <w:ind w:firstLine="709"/>
        <w:jc w:val="both"/>
      </w:pPr>
    </w:p>
    <w:p w14:paraId="4AC15CD8" w14:textId="7713994A" w:rsidR="007E5B80" w:rsidRDefault="007E5B80">
      <w:pPr>
        <w:spacing w:after="0"/>
        <w:ind w:firstLine="709"/>
        <w:jc w:val="both"/>
      </w:pPr>
    </w:p>
    <w:p w14:paraId="45ECAF62" w14:textId="2411140D" w:rsidR="007E5B80" w:rsidRDefault="007E5B80">
      <w:pPr>
        <w:spacing w:after="0"/>
        <w:ind w:firstLine="709"/>
        <w:jc w:val="both"/>
      </w:pPr>
    </w:p>
    <w:p w14:paraId="3E3AFB35" w14:textId="77C3FAD7" w:rsidR="007E5B80" w:rsidRDefault="007E5B80">
      <w:pPr>
        <w:spacing w:after="0"/>
        <w:ind w:firstLine="709"/>
        <w:jc w:val="both"/>
      </w:pPr>
    </w:p>
    <w:p w14:paraId="347AFB19" w14:textId="6CFFC49F" w:rsidR="007E5B80" w:rsidRDefault="007E5B80">
      <w:pPr>
        <w:spacing w:after="0"/>
        <w:ind w:firstLine="709"/>
        <w:jc w:val="both"/>
      </w:pPr>
    </w:p>
    <w:p w14:paraId="2B270019" w14:textId="4D89DDA1" w:rsidR="007E5B80" w:rsidRDefault="007E5B80">
      <w:pPr>
        <w:spacing w:after="0"/>
        <w:ind w:firstLine="709"/>
        <w:jc w:val="both"/>
        <w:rPr>
          <w:lang w:val="uk-UA"/>
        </w:rPr>
      </w:pPr>
    </w:p>
    <w:p w14:paraId="3D085516" w14:textId="03B5008B" w:rsidR="00827E6B" w:rsidRDefault="00827E6B">
      <w:pPr>
        <w:spacing w:after="0"/>
        <w:ind w:firstLine="709"/>
        <w:jc w:val="both"/>
        <w:rPr>
          <w:lang w:val="uk-UA"/>
        </w:rPr>
      </w:pPr>
    </w:p>
    <w:p w14:paraId="51E275EA" w14:textId="77D26C4B" w:rsidR="00827E6B" w:rsidRDefault="00827E6B">
      <w:pPr>
        <w:spacing w:after="0"/>
        <w:ind w:firstLine="709"/>
        <w:jc w:val="both"/>
        <w:rPr>
          <w:lang w:val="uk-UA"/>
        </w:rPr>
      </w:pPr>
    </w:p>
    <w:p w14:paraId="5E9174BA" w14:textId="0D37EA9A" w:rsidR="00827E6B" w:rsidRDefault="00827E6B">
      <w:pPr>
        <w:spacing w:after="0"/>
        <w:ind w:firstLine="709"/>
        <w:jc w:val="both"/>
        <w:rPr>
          <w:lang w:val="uk-UA"/>
        </w:rPr>
      </w:pPr>
    </w:p>
    <w:p w14:paraId="352FC00E" w14:textId="03E7B613" w:rsidR="00827E6B" w:rsidRDefault="00827E6B">
      <w:pPr>
        <w:spacing w:after="0"/>
        <w:ind w:firstLine="709"/>
        <w:jc w:val="both"/>
        <w:rPr>
          <w:lang w:val="uk-UA"/>
        </w:rPr>
      </w:pPr>
    </w:p>
    <w:p w14:paraId="6B40BA56" w14:textId="77777777" w:rsidR="00827E6B" w:rsidRDefault="00827E6B">
      <w:pPr>
        <w:spacing w:after="0"/>
        <w:ind w:firstLine="709"/>
        <w:jc w:val="both"/>
        <w:rPr>
          <w:lang w:val="uk-UA"/>
        </w:rPr>
      </w:pPr>
    </w:p>
    <w:p w14:paraId="422E8280" w14:textId="77777777" w:rsidR="001B00F2" w:rsidRDefault="001B00F2">
      <w:pPr>
        <w:spacing w:after="0"/>
        <w:ind w:firstLine="709"/>
        <w:jc w:val="both"/>
      </w:pPr>
    </w:p>
    <w:p w14:paraId="0D51396D" w14:textId="77777777" w:rsidR="001B00F2" w:rsidRDefault="001B00F2">
      <w:pPr>
        <w:spacing w:after="0"/>
        <w:ind w:firstLine="709"/>
        <w:jc w:val="both"/>
      </w:pPr>
    </w:p>
    <w:tbl>
      <w:tblPr>
        <w:tblStyle w:val="a4"/>
        <w:tblW w:w="14943" w:type="dxa"/>
        <w:tblInd w:w="-572" w:type="dxa"/>
        <w:tblLook w:val="04A0" w:firstRow="1" w:lastRow="0" w:firstColumn="1" w:lastColumn="0" w:noHBand="0" w:noVBand="1"/>
      </w:tblPr>
      <w:tblGrid>
        <w:gridCol w:w="699"/>
        <w:gridCol w:w="5368"/>
        <w:gridCol w:w="1963"/>
        <w:gridCol w:w="6899"/>
        <w:gridCol w:w="14"/>
      </w:tblGrid>
      <w:tr w:rsidR="00704E0B" w14:paraId="79462875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0014C4AC" w14:textId="77777777" w:rsidR="00704E0B" w:rsidRDefault="00704E0B">
            <w:pPr>
              <w:ind w:left="-404" w:firstLine="58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</w:p>
          <w:p w14:paraId="37C9A532" w14:textId="77777777" w:rsidR="00704E0B" w:rsidRDefault="00704E0B">
            <w:pPr>
              <w:ind w:left="-404" w:firstLine="404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368" w:type="dxa"/>
          </w:tcPr>
          <w:p w14:paraId="4DD3372C" w14:textId="77777777" w:rsidR="00704E0B" w:rsidRDefault="00704E0B">
            <w:pPr>
              <w:ind w:left="-404" w:firstLine="708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показника</w:t>
            </w:r>
          </w:p>
        </w:tc>
        <w:tc>
          <w:tcPr>
            <w:tcW w:w="1963" w:type="dxa"/>
          </w:tcPr>
          <w:p w14:paraId="15EA3735" w14:textId="1CFE0EA1" w:rsidR="00704E0B" w:rsidRDefault="00704E0B" w:rsidP="005913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</w:tc>
        <w:tc>
          <w:tcPr>
            <w:tcW w:w="6899" w:type="dxa"/>
          </w:tcPr>
          <w:p w14:paraId="66F25224" w14:textId="18CD4559" w:rsidR="00704E0B" w:rsidRDefault="00704E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Стан виконання та проблемні питання, вплив на довкілля,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для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>
              <w:t>’</w:t>
            </w:r>
            <w:r>
              <w:rPr>
                <w:lang w:val="uk-UA"/>
              </w:rPr>
              <w:t>я населення</w:t>
            </w:r>
          </w:p>
        </w:tc>
      </w:tr>
      <w:tr w:rsidR="001B00F2" w14:paraId="5A88306E" w14:textId="77777777" w:rsidTr="001419A8">
        <w:tc>
          <w:tcPr>
            <w:tcW w:w="14943" w:type="dxa"/>
            <w:gridSpan w:val="5"/>
          </w:tcPr>
          <w:p w14:paraId="138B1A9A" w14:textId="77777777" w:rsidR="001B00F2" w:rsidRDefault="000A01F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Водне середовище</w:t>
            </w:r>
          </w:p>
        </w:tc>
      </w:tr>
      <w:tr w:rsidR="001B00F2" w14:paraId="3B1D1137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35B6C56D" w14:textId="77777777" w:rsidR="001B00F2" w:rsidRDefault="000A01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368" w:type="dxa"/>
          </w:tcPr>
          <w:p w14:paraId="3FC0BBCB" w14:textId="77777777" w:rsidR="001B00F2" w:rsidRPr="004830C1" w:rsidRDefault="000A01F2">
            <w:pPr>
              <w:jc w:val="both"/>
              <w:rPr>
                <w:b/>
                <w:bCs/>
                <w:lang w:val="uk-UA"/>
              </w:rPr>
            </w:pPr>
            <w:r w:rsidRPr="004830C1">
              <w:rPr>
                <w:b/>
                <w:bCs/>
                <w:lang w:val="uk-UA"/>
              </w:rPr>
              <w:t>Моніторинг стану рибних запасів у водоймах області та визначення пріоритетних напрямів їх збереження і примноження:</w:t>
            </w:r>
          </w:p>
        </w:tc>
        <w:tc>
          <w:tcPr>
            <w:tcW w:w="1963" w:type="dxa"/>
          </w:tcPr>
          <w:p w14:paraId="5FF12260" w14:textId="77777777" w:rsidR="001B00F2" w:rsidRDefault="001B00F2">
            <w:pPr>
              <w:jc w:val="both"/>
            </w:pPr>
          </w:p>
        </w:tc>
        <w:tc>
          <w:tcPr>
            <w:tcW w:w="6899" w:type="dxa"/>
          </w:tcPr>
          <w:p w14:paraId="40C0AF97" w14:textId="77777777" w:rsidR="001B00F2" w:rsidRDefault="001B00F2">
            <w:pPr>
              <w:jc w:val="both"/>
            </w:pPr>
          </w:p>
        </w:tc>
      </w:tr>
      <w:tr w:rsidR="000D723D" w14:paraId="6F676245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652A5141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5368" w:type="dxa"/>
          </w:tcPr>
          <w:p w14:paraId="237C287F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обсяги виробленої товарної продукції аквакультури, т</w:t>
            </w:r>
          </w:p>
          <w:p w14:paraId="6D2A499B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реалізовано продукції аквакультури (товарна риба), т</w:t>
            </w:r>
          </w:p>
        </w:tc>
        <w:tc>
          <w:tcPr>
            <w:tcW w:w="1963" w:type="dxa"/>
          </w:tcPr>
          <w:p w14:paraId="131F433F" w14:textId="10517DB1" w:rsidR="000D723D" w:rsidRPr="003F09D9" w:rsidRDefault="000D723D" w:rsidP="005913B9">
            <w:pPr>
              <w:jc w:val="center"/>
              <w:rPr>
                <w:lang w:val="uk-UA"/>
              </w:rPr>
            </w:pPr>
            <w:r w:rsidRPr="003F09D9">
              <w:rPr>
                <w:lang w:val="uk-UA"/>
              </w:rPr>
              <w:t>947,067</w:t>
            </w:r>
          </w:p>
          <w:p w14:paraId="214FAD0B" w14:textId="77777777" w:rsidR="000D723D" w:rsidRPr="003F09D9" w:rsidRDefault="000D723D" w:rsidP="005913B9">
            <w:pPr>
              <w:jc w:val="center"/>
              <w:rPr>
                <w:lang w:val="uk-UA"/>
              </w:rPr>
            </w:pPr>
          </w:p>
          <w:p w14:paraId="1EBB5101" w14:textId="189B996C" w:rsidR="000D723D" w:rsidRPr="003F09D9" w:rsidRDefault="000D723D" w:rsidP="005913B9">
            <w:pPr>
              <w:jc w:val="center"/>
              <w:rPr>
                <w:lang w:val="uk-UA"/>
              </w:rPr>
            </w:pPr>
            <w:r w:rsidRPr="003F09D9">
              <w:rPr>
                <w:lang w:val="uk-UA"/>
              </w:rPr>
              <w:t>842,691</w:t>
            </w:r>
          </w:p>
        </w:tc>
        <w:tc>
          <w:tcPr>
            <w:tcW w:w="6899" w:type="dxa"/>
          </w:tcPr>
          <w:p w14:paraId="29F9CE2D" w14:textId="0CCA3748" w:rsidR="000D723D" w:rsidRPr="00D823CF" w:rsidRDefault="000D723D">
            <w:pPr>
              <w:jc w:val="both"/>
            </w:pPr>
            <w:proofErr w:type="spellStart"/>
            <w:r w:rsidRPr="00D823CF">
              <w:t>Статистична</w:t>
            </w:r>
            <w:proofErr w:type="spellEnd"/>
            <w:r w:rsidRPr="00D823CF">
              <w:t xml:space="preserve"> </w:t>
            </w:r>
            <w:proofErr w:type="spellStart"/>
            <w:r w:rsidRPr="00D823CF">
              <w:t>звітність</w:t>
            </w:r>
            <w:proofErr w:type="spellEnd"/>
            <w:r w:rsidRPr="00D823CF">
              <w:t xml:space="preserve"> форма 1А-аквакультур</w:t>
            </w:r>
            <w:r>
              <w:t>а «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аквакультуру</w:t>
            </w:r>
            <w:proofErr w:type="spellEnd"/>
            <w:r>
              <w:t xml:space="preserve"> за 202</w:t>
            </w:r>
            <w:r>
              <w:rPr>
                <w:lang w:val="uk-UA"/>
              </w:rPr>
              <w:t>5</w:t>
            </w:r>
            <w:r w:rsidRPr="00D823CF">
              <w:t xml:space="preserve"> </w:t>
            </w:r>
            <w:proofErr w:type="spellStart"/>
            <w:r w:rsidRPr="00D823CF">
              <w:t>рік</w:t>
            </w:r>
            <w:proofErr w:type="spellEnd"/>
            <w:r w:rsidRPr="00D823CF">
              <w:t>»</w:t>
            </w:r>
          </w:p>
        </w:tc>
      </w:tr>
      <w:tr w:rsidR="000D723D" w:rsidRPr="00644285" w14:paraId="03B7636A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6C31EDAB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5368" w:type="dxa"/>
          </w:tcPr>
          <w:p w14:paraId="5277BC05" w14:textId="705B754D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виданих наказів, розпоряджень щодо збереження і примноження водних біоресурсів, шт.</w:t>
            </w:r>
          </w:p>
        </w:tc>
        <w:tc>
          <w:tcPr>
            <w:tcW w:w="1963" w:type="dxa"/>
          </w:tcPr>
          <w:p w14:paraId="01417BB4" w14:textId="7838E2A0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99" w:type="dxa"/>
          </w:tcPr>
          <w:p w14:paraId="6513E140" w14:textId="090FF4A0" w:rsidR="000D723D" w:rsidRDefault="000D723D" w:rsidP="00600D12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Наказ Вінницько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го рибоохоронного патруля від 27.10.2025 № 91</w:t>
            </w: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«Про затвердження переліку меж зимувальних ям 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період зимівлі водних біоресурсів у 2025-2026 роках у водоймах Вінницької області», </w:t>
            </w: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наказ Управління  Державного агентства з розвитку меліорації, рибного господарства та продовольчих програм у Вінниц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ькій області від 24.03.2025 № 32</w:t>
            </w: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«Про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затвердження меж нерестовищ у рибогосподарських водних об’єктах Вінницької області на період нересту у 2025 році»</w:t>
            </w: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, наказ Вінницької обласної військової адміністрації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 26.03.2025 № 164 «Про заходи з охорони і відтворення рибних запасів та інших водних біоресурсів у період нересту риби у 2025 році», яким затверджено План заходів з контролю за охороною рибних запасів та інших водних біоресурсів у період весняно-літньої заборони на вилов риби та Графік виїздів оперативних груп та забезпечення їх автотранспортом на період нересту риби у 2025 році, н</w:t>
            </w:r>
            <w:r w:rsidRPr="006F710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аказ Вінницько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го рибоохоронного патруля від 25.11.2025 № 99 «Про затвердження періодів линьки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раків і виношування ними ікри у зимово-весняний термін 2025-2026 років, в які забороняється вилов річкових раків в рибогосподарських водних об’єктах (їх частинах) Вінницької області».</w:t>
            </w:r>
          </w:p>
          <w:p w14:paraId="5F7E19FA" w14:textId="27AE4EDB" w:rsidR="000D723D" w:rsidRPr="00600D12" w:rsidRDefault="000D723D" w:rsidP="00600D12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D723D" w14:paraId="760674C6" w14:textId="77777777" w:rsidTr="005913B9">
        <w:trPr>
          <w:gridAfter w:val="1"/>
          <w:wAfter w:w="14" w:type="dxa"/>
          <w:trHeight w:val="277"/>
        </w:trPr>
        <w:tc>
          <w:tcPr>
            <w:tcW w:w="699" w:type="dxa"/>
          </w:tcPr>
          <w:p w14:paraId="2D6D99F3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1.3</w:t>
            </w:r>
          </w:p>
        </w:tc>
        <w:tc>
          <w:tcPr>
            <w:tcW w:w="5368" w:type="dxa"/>
          </w:tcPr>
          <w:p w14:paraId="60B7BAD8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зарибленого малька, тис. шт.</w:t>
            </w:r>
          </w:p>
        </w:tc>
        <w:tc>
          <w:tcPr>
            <w:tcW w:w="1963" w:type="dxa"/>
          </w:tcPr>
          <w:p w14:paraId="46364716" w14:textId="77777777" w:rsidR="000D723D" w:rsidRDefault="000D723D">
            <w:pPr>
              <w:rPr>
                <w:lang w:val="uk-UA"/>
              </w:rPr>
            </w:pPr>
          </w:p>
          <w:p w14:paraId="58D6DF02" w14:textId="558F9A10" w:rsidR="000D723D" w:rsidRDefault="000D723D" w:rsidP="00827E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899" w:type="dxa"/>
          </w:tcPr>
          <w:p w14:paraId="1B8CBC78" w14:textId="77777777" w:rsidR="000D723D" w:rsidRDefault="000D723D" w:rsidP="00E23592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 звітному періоді зариблення у природні водойми Вінницької області молоддю риб не здійснювалось.</w:t>
            </w:r>
          </w:p>
          <w:p w14:paraId="5A046794" w14:textId="321FD54B" w:rsidR="000D723D" w:rsidRDefault="000D723D" w:rsidP="00E23592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Проводилось зариблення водойм суб’єктами господарювання, які здійснюють господарську діяльність в умовах аквакультури.</w:t>
            </w:r>
          </w:p>
        </w:tc>
      </w:tr>
      <w:tr w:rsidR="00BF0AEB" w14:paraId="7625FA09" w14:textId="77777777" w:rsidTr="005913B9">
        <w:trPr>
          <w:gridAfter w:val="1"/>
          <w:wAfter w:w="14" w:type="dxa"/>
          <w:trHeight w:val="4310"/>
        </w:trPr>
        <w:tc>
          <w:tcPr>
            <w:tcW w:w="699" w:type="dxa"/>
          </w:tcPr>
          <w:p w14:paraId="70BAD23A" w14:textId="77777777" w:rsidR="00BF0AEB" w:rsidRDefault="00BF0A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368" w:type="dxa"/>
          </w:tcPr>
          <w:p w14:paraId="4A1FF67A" w14:textId="77777777" w:rsidR="00BF0AEB" w:rsidRPr="004830C1" w:rsidRDefault="00BF0AEB">
            <w:pPr>
              <w:spacing w:before="20" w:after="20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Моніторинг с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тан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у</w:t>
            </w:r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рибогосподарських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водних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об'єктів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(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їх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частин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)</w:t>
            </w: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:</w:t>
            </w:r>
          </w:p>
          <w:p w14:paraId="473F8674" w14:textId="77777777" w:rsidR="00BF0AEB" w:rsidRDefault="00BF0AEB">
            <w:pPr>
              <w:jc w:val="both"/>
            </w:pPr>
          </w:p>
        </w:tc>
        <w:tc>
          <w:tcPr>
            <w:tcW w:w="1963" w:type="dxa"/>
          </w:tcPr>
          <w:p w14:paraId="6B15EBB3" w14:textId="3DA2A4B3" w:rsidR="00BF0AEB" w:rsidRDefault="00BF0AEB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6899" w:type="dxa"/>
            <w:vMerge w:val="restart"/>
          </w:tcPr>
          <w:p w14:paraId="430030E2" w14:textId="765F2D00" w:rsidR="00BF0AEB" w:rsidRPr="00FD0066" w:rsidRDefault="00BF0AEB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84F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Для моніторингу стану рибогосподарських водойм у зимовий період Управління</w:t>
            </w:r>
            <w:r w:rsidR="00BB54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</w:t>
            </w:r>
            <w:r w:rsidRPr="00684F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 Державного агентства з розвитку меліорації, рибного господарства та продовольчих програм у Вінницькій області розроблено заходи щодо запобігання явищам задухи і загибелі водних біоресурсів, у тому числі забезпечення проведення  постійного моніторингу температурного режиму водойм та вмісту розчиненого у воді  кисню. Створено </w:t>
            </w:r>
            <w:r w:rsidR="00BB548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</w:t>
            </w:r>
            <w:r w:rsidRPr="00FD00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постів</w:t>
            </w:r>
            <w:r w:rsidRPr="00684F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із числа користувачів водних біоресурсів, громадських організацій, які здійснюють спостереження за ходом зимівлі риби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та </w:t>
            </w:r>
            <w:r w:rsidR="00BB54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19 постів, які здійснюють спостереження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ходом риби на нерест</w:t>
            </w:r>
            <w:r w:rsidRPr="00684F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: температурним режимом та коливаннями рівня води. Басейновим управлінням водних ресурсів р. Південний Буг здійснюється </w:t>
            </w:r>
            <w:r w:rsidRPr="00FD00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відбір проб води у визначених місцях для  визначення показників розчиненого у воді кисню</w:t>
            </w:r>
          </w:p>
          <w:p w14:paraId="79601581" w14:textId="77777777" w:rsidR="00BF0AEB" w:rsidRDefault="00BF0AEB">
            <w:pPr>
              <w:jc w:val="both"/>
              <w:rPr>
                <w:lang w:val="uk-UA"/>
              </w:rPr>
            </w:pPr>
          </w:p>
        </w:tc>
      </w:tr>
      <w:tr w:rsidR="000D723D" w14:paraId="1E6C2562" w14:textId="77777777" w:rsidTr="005913B9">
        <w:trPr>
          <w:gridAfter w:val="1"/>
          <w:wAfter w:w="14" w:type="dxa"/>
          <w:trHeight w:val="554"/>
        </w:trPr>
        <w:tc>
          <w:tcPr>
            <w:tcW w:w="699" w:type="dxa"/>
          </w:tcPr>
          <w:p w14:paraId="13A8B665" w14:textId="75007E09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5368" w:type="dxa"/>
          </w:tcPr>
          <w:p w14:paraId="4A69ED20" w14:textId="7E2093FA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Створення спостережних постів, шт.</w:t>
            </w:r>
          </w:p>
        </w:tc>
        <w:tc>
          <w:tcPr>
            <w:tcW w:w="1963" w:type="dxa"/>
          </w:tcPr>
          <w:p w14:paraId="43A2A5F0" w14:textId="77777777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14:paraId="1B27A444" w14:textId="02A52B9E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9" w:type="dxa"/>
            <w:vMerge/>
          </w:tcPr>
          <w:p w14:paraId="01831FEB" w14:textId="22F7E562" w:rsidR="000D723D" w:rsidRDefault="000D723D">
            <w:pPr>
              <w:jc w:val="both"/>
              <w:rPr>
                <w:lang w:val="uk-UA"/>
              </w:rPr>
            </w:pPr>
          </w:p>
        </w:tc>
      </w:tr>
      <w:tr w:rsidR="000D723D" w14:paraId="303B68FD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29F614FF" w14:textId="51C4B6C9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5368" w:type="dxa"/>
          </w:tcPr>
          <w:p w14:paraId="60903980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Загибель біоресурсів,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uk-UA"/>
              </w:rPr>
              <w:t>тонн</w:t>
            </w:r>
            <w:proofErr w:type="spellEnd"/>
          </w:p>
        </w:tc>
        <w:tc>
          <w:tcPr>
            <w:tcW w:w="1963" w:type="dxa"/>
          </w:tcPr>
          <w:p w14:paraId="32E6DF90" w14:textId="158703C6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99" w:type="dxa"/>
          </w:tcPr>
          <w:p w14:paraId="0B860A07" w14:textId="619F2F4F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Загибелі не зафіксовано</w:t>
            </w:r>
          </w:p>
        </w:tc>
      </w:tr>
      <w:tr w:rsidR="000D723D" w14:paraId="43824367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72377F75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368" w:type="dxa"/>
          </w:tcPr>
          <w:p w14:paraId="5621ABA1" w14:textId="77777777" w:rsidR="000D723D" w:rsidRPr="004830C1" w:rsidRDefault="000D723D">
            <w:pPr>
              <w:spacing w:before="20" w:after="20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</w:t>
            </w: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 xml:space="preserve">Проведення наукових досліджень з оцінки стану, вивчення біології та </w:t>
            </w: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lastRenderedPageBreak/>
              <w:t>середовища існування водних біоресурсів, збирання біологічних і промислово-статистичних даних, розроблення лімітів спеціального використання водних біоресурсів.</w:t>
            </w:r>
          </w:p>
          <w:p w14:paraId="64C230B4" w14:textId="77777777" w:rsidR="000D723D" w:rsidRDefault="000D723D">
            <w:pPr>
              <w:jc w:val="both"/>
              <w:rPr>
                <w:lang w:val="uk-UA"/>
              </w:rPr>
            </w:pPr>
          </w:p>
        </w:tc>
        <w:tc>
          <w:tcPr>
            <w:tcW w:w="1963" w:type="dxa"/>
          </w:tcPr>
          <w:p w14:paraId="023EFA7E" w14:textId="77A87F52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6899" w:type="dxa"/>
          </w:tcPr>
          <w:p w14:paraId="4A3226EA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2025 році наукові дослідження з оцінки стану, вивчення біології та середовища існування водних </w:t>
            </w:r>
            <w:r>
              <w:rPr>
                <w:lang w:val="uk-UA"/>
              </w:rPr>
              <w:lastRenderedPageBreak/>
              <w:t>біоресурсів науковими установами не проводились</w:t>
            </w:r>
          </w:p>
          <w:p w14:paraId="7B8A2E04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46FF1981" w14:textId="3A99A4AD" w:rsidR="000D723D" w:rsidRDefault="000D723D">
            <w:pPr>
              <w:jc w:val="both"/>
              <w:rPr>
                <w:lang w:val="uk-UA"/>
              </w:rPr>
            </w:pPr>
          </w:p>
        </w:tc>
      </w:tr>
      <w:tr w:rsidR="000D723D" w14:paraId="0BB230EA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7760A294" w14:textId="010BBE8C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3.1</w:t>
            </w:r>
          </w:p>
        </w:tc>
        <w:tc>
          <w:tcPr>
            <w:tcW w:w="5368" w:type="dxa"/>
          </w:tcPr>
          <w:p w14:paraId="5149F1A3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Встановлення лімітів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uk-UA"/>
              </w:rPr>
              <w:t>спецвикористання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водних біоресурсів</w:t>
            </w:r>
          </w:p>
        </w:tc>
        <w:tc>
          <w:tcPr>
            <w:tcW w:w="1963" w:type="dxa"/>
          </w:tcPr>
          <w:p w14:paraId="25EA0EC3" w14:textId="5861536F" w:rsidR="000D723D" w:rsidRPr="003D0DD0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99" w:type="dxa"/>
          </w:tcPr>
          <w:p w14:paraId="1723A551" w14:textId="6F511217" w:rsidR="000D723D" w:rsidRDefault="000D723D">
            <w:pPr>
              <w:jc w:val="both"/>
              <w:rPr>
                <w:lang w:val="uk-UA"/>
              </w:rPr>
            </w:pPr>
            <w:r w:rsidRPr="003D0DD0">
              <w:rPr>
                <w:lang w:val="uk-UA"/>
              </w:rPr>
              <w:t xml:space="preserve">Ліміти на </w:t>
            </w:r>
            <w:proofErr w:type="spellStart"/>
            <w:r w:rsidRPr="003D0DD0">
              <w:rPr>
                <w:lang w:val="uk-UA"/>
              </w:rPr>
              <w:t>спецвикористання</w:t>
            </w:r>
            <w:proofErr w:type="spellEnd"/>
            <w:r w:rsidRPr="003D0DD0">
              <w:rPr>
                <w:lang w:val="uk-UA"/>
              </w:rPr>
              <w:t xml:space="preserve"> водних біоресурсів не встановлювались. Договори на право спеціального використання водних біоресурсів у рибогосподарських водних об</w:t>
            </w:r>
            <w:r>
              <w:rPr>
                <w:lang w:val="uk-UA"/>
              </w:rPr>
              <w:t>’єктах Вінницької області в 2025</w:t>
            </w:r>
            <w:r w:rsidRPr="003D0DD0">
              <w:rPr>
                <w:lang w:val="uk-UA"/>
              </w:rPr>
              <w:t xml:space="preserve"> році не укладались.</w:t>
            </w:r>
          </w:p>
          <w:p w14:paraId="3CEA830C" w14:textId="4E2FB445" w:rsidR="000D723D" w:rsidRPr="003D0DD0" w:rsidRDefault="000D723D">
            <w:pPr>
              <w:jc w:val="both"/>
              <w:rPr>
                <w:lang w:val="uk-UA"/>
              </w:rPr>
            </w:pPr>
          </w:p>
        </w:tc>
      </w:tr>
      <w:tr w:rsidR="001B00F2" w14:paraId="382858E5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4E0B3468" w14:textId="77777777" w:rsidR="001B00F2" w:rsidRDefault="000A01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368" w:type="dxa"/>
          </w:tcPr>
          <w:p w14:paraId="1EE66ADA" w14:textId="091509CA" w:rsidR="001B00F2" w:rsidRPr="004830C1" w:rsidRDefault="000A01F2">
            <w:pPr>
              <w:spacing w:before="20" w:after="20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Проведення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меліоративних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робіт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з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відновлення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природних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нерестовищ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,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шляхів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міграцій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та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міс</w:t>
            </w:r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>ць</w:t>
            </w:r>
            <w:proofErr w:type="spellEnd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>зимівлі</w:t>
            </w:r>
            <w:proofErr w:type="spellEnd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>водних</w:t>
            </w:r>
            <w:proofErr w:type="spellEnd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>біоресурсів</w:t>
            </w:r>
            <w:proofErr w:type="spellEnd"/>
            <w:r w:rsidR="001173AA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r w:rsidR="001173AA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у</w:t>
            </w:r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водоймах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області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:</w:t>
            </w:r>
          </w:p>
          <w:p w14:paraId="089DE459" w14:textId="77777777" w:rsidR="001B00F2" w:rsidRDefault="001B00F2">
            <w:pPr>
              <w:jc w:val="both"/>
            </w:pPr>
          </w:p>
        </w:tc>
        <w:tc>
          <w:tcPr>
            <w:tcW w:w="1963" w:type="dxa"/>
          </w:tcPr>
          <w:p w14:paraId="2C4DD1D2" w14:textId="77777777" w:rsidR="001B00F2" w:rsidRDefault="001B00F2">
            <w:pPr>
              <w:jc w:val="both"/>
              <w:rPr>
                <w:lang w:val="uk-UA"/>
              </w:rPr>
            </w:pPr>
          </w:p>
        </w:tc>
        <w:tc>
          <w:tcPr>
            <w:tcW w:w="6899" w:type="dxa"/>
          </w:tcPr>
          <w:p w14:paraId="40773490" w14:textId="77777777" w:rsidR="001B00F2" w:rsidRDefault="001B00F2">
            <w:pPr>
              <w:jc w:val="both"/>
              <w:rPr>
                <w:lang w:val="uk-UA"/>
              </w:rPr>
            </w:pPr>
          </w:p>
        </w:tc>
      </w:tr>
      <w:tr w:rsidR="000D723D" w:rsidRPr="00644285" w14:paraId="16C09695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7EE72832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4.1</w:t>
            </w:r>
          </w:p>
        </w:tc>
        <w:tc>
          <w:tcPr>
            <w:tcW w:w="5368" w:type="dxa"/>
          </w:tcPr>
          <w:p w14:paraId="04FE12A9" w14:textId="3E464C1E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Наявність тоневих ділянок для меліоративного та промислового вилову риби, шт.</w:t>
            </w:r>
          </w:p>
        </w:tc>
        <w:tc>
          <w:tcPr>
            <w:tcW w:w="1963" w:type="dxa"/>
          </w:tcPr>
          <w:p w14:paraId="5ACA55EF" w14:textId="28CAA710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99" w:type="dxa"/>
          </w:tcPr>
          <w:p w14:paraId="7C61B2F3" w14:textId="1EB307EE" w:rsidR="000D723D" w:rsidRDefault="000D723D" w:rsidP="00780432">
            <w:pPr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виконання умов режимів рибогосподарської експлуатації підготовлені та підтримуються у належному стані тоневі ділянки для меліоративного вилову риби, а саме: ФОП </w:t>
            </w:r>
            <w:proofErr w:type="spellStart"/>
            <w:r>
              <w:rPr>
                <w:szCs w:val="28"/>
                <w:lang w:val="uk-UA"/>
              </w:rPr>
              <w:t>Колісніченко</w:t>
            </w:r>
            <w:proofErr w:type="spellEnd"/>
            <w:r>
              <w:rPr>
                <w:szCs w:val="28"/>
                <w:lang w:val="uk-UA"/>
              </w:rPr>
              <w:t xml:space="preserve"> Л.С. на </w:t>
            </w:r>
            <w:r w:rsidRPr="004619A3">
              <w:rPr>
                <w:szCs w:val="28"/>
                <w:lang w:val="uk-UA"/>
              </w:rPr>
              <w:t>Ладижинському</w:t>
            </w:r>
            <w:r>
              <w:rPr>
                <w:szCs w:val="28"/>
                <w:lang w:val="uk-UA"/>
              </w:rPr>
              <w:t xml:space="preserve"> в</w:t>
            </w:r>
            <w:r w:rsidRPr="004619A3">
              <w:rPr>
                <w:szCs w:val="28"/>
                <w:lang w:val="uk-UA"/>
              </w:rPr>
              <w:t xml:space="preserve">одосховищі в кількості </w:t>
            </w:r>
            <w:r>
              <w:rPr>
                <w:szCs w:val="28"/>
                <w:lang w:val="uk-UA"/>
              </w:rPr>
              <w:t xml:space="preserve">5 штук, ПП «БУК 2007» на </w:t>
            </w:r>
            <w:proofErr w:type="spellStart"/>
            <w:r>
              <w:rPr>
                <w:szCs w:val="28"/>
                <w:lang w:val="uk-UA"/>
              </w:rPr>
              <w:t>Дмитренківському</w:t>
            </w:r>
            <w:proofErr w:type="spellEnd"/>
            <w:r>
              <w:rPr>
                <w:szCs w:val="28"/>
                <w:lang w:val="uk-UA"/>
              </w:rPr>
              <w:t xml:space="preserve"> водосховищі – 3</w:t>
            </w:r>
          </w:p>
          <w:p w14:paraId="073BA89F" w14:textId="080C4BF3" w:rsidR="000D723D" w:rsidRDefault="000D723D" w:rsidP="00780432">
            <w:pPr>
              <w:jc w:val="both"/>
              <w:outlineLvl w:val="0"/>
              <w:rPr>
                <w:lang w:val="uk-UA"/>
              </w:rPr>
            </w:pPr>
          </w:p>
        </w:tc>
      </w:tr>
      <w:tr w:rsidR="000D723D" w14:paraId="54B36333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755D9C28" w14:textId="24D75891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4.2</w:t>
            </w:r>
          </w:p>
        </w:tc>
        <w:tc>
          <w:tcPr>
            <w:tcW w:w="5368" w:type="dxa"/>
          </w:tcPr>
          <w:p w14:paraId="233C960E" w14:textId="214F4A0C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Встановлення штучних гнізд для нересту аборигенних видів риб, шт.</w:t>
            </w:r>
          </w:p>
        </w:tc>
        <w:tc>
          <w:tcPr>
            <w:tcW w:w="1963" w:type="dxa"/>
          </w:tcPr>
          <w:p w14:paraId="30D7990A" w14:textId="0177CD35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6899" w:type="dxa"/>
          </w:tcPr>
          <w:p w14:paraId="6B821068" w14:textId="77777777" w:rsidR="000D723D" w:rsidRDefault="000D723D" w:rsidP="00144E2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виконання умов режиму рибогосподарської експлуатації та з метою створення додаткових місць для нересту риби користувачами були виготовлені та встановлені штучні гнізда-нерестилища: ФОП </w:t>
            </w:r>
            <w:proofErr w:type="spellStart"/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t>Колісніченко</w:t>
            </w:r>
            <w:proofErr w:type="spellEnd"/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Л.С. виготовлено та встановлено у Ладижинське водосховище 100 штучних гнізд-</w:t>
            </w:r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нерестилищ, ПП «БУК 2007» у </w:t>
            </w:r>
            <w:proofErr w:type="spellStart"/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t>Дмитренківське</w:t>
            </w:r>
            <w:proofErr w:type="spellEnd"/>
            <w:r w:rsidRPr="00144E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водосховище – 150. </w:t>
            </w:r>
            <w:proofErr w:type="spellStart"/>
            <w:r w:rsidRPr="004E1B00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4E1B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встановлено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водойми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Pr="004E1B00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 w:rsidRPr="004E1B00">
              <w:rPr>
                <w:rFonts w:ascii="Times New Roman" w:hAnsi="Times New Roman"/>
                <w:sz w:val="28"/>
                <w:szCs w:val="28"/>
              </w:rPr>
              <w:t>одиниць</w:t>
            </w:r>
            <w:proofErr w:type="spellEnd"/>
            <w:r w:rsidRPr="004E1B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1B00">
              <w:rPr>
                <w:rFonts w:ascii="Times New Roman" w:hAnsi="Times New Roman"/>
                <w:sz w:val="28"/>
                <w:szCs w:val="28"/>
              </w:rPr>
              <w:t>штучних</w:t>
            </w:r>
            <w:proofErr w:type="spellEnd"/>
            <w:r w:rsidRPr="004E1B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1B00">
              <w:rPr>
                <w:rFonts w:ascii="Times New Roman" w:hAnsi="Times New Roman"/>
                <w:sz w:val="28"/>
                <w:szCs w:val="28"/>
              </w:rPr>
              <w:t>гніз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-нерестилищ.</w:t>
            </w:r>
          </w:p>
          <w:p w14:paraId="74E01C87" w14:textId="56A5C731" w:rsidR="000D723D" w:rsidRPr="00144E2D" w:rsidRDefault="000D723D">
            <w:pPr>
              <w:jc w:val="both"/>
            </w:pPr>
          </w:p>
        </w:tc>
      </w:tr>
      <w:tr w:rsidR="000D723D" w:rsidRPr="008573A5" w14:paraId="3C3C6EB7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00F1749F" w14:textId="7777777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368" w:type="dxa"/>
          </w:tcPr>
          <w:p w14:paraId="4A13AA1D" w14:textId="6AAC75F4" w:rsidR="000D723D" w:rsidRPr="004830C1" w:rsidRDefault="000D723D">
            <w:pPr>
              <w:spacing w:before="20" w:after="20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Проведення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наукових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досліджень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на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водних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об’єктах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області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, з метою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визначення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видового,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вікового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різноманіття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іхтіофауни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,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рибопродуктивності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,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екологічної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</w:rPr>
              <w:t>ситуації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, од.</w:t>
            </w:r>
          </w:p>
          <w:p w14:paraId="6F71F6C5" w14:textId="77777777" w:rsidR="000D723D" w:rsidRDefault="000D723D">
            <w:pPr>
              <w:jc w:val="both"/>
            </w:pPr>
          </w:p>
        </w:tc>
        <w:tc>
          <w:tcPr>
            <w:tcW w:w="1963" w:type="dxa"/>
          </w:tcPr>
          <w:p w14:paraId="2F15AE8B" w14:textId="6C082D2A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99" w:type="dxa"/>
          </w:tcPr>
          <w:p w14:paraId="6CACCCDF" w14:textId="6608D5C5" w:rsidR="000D723D" w:rsidRPr="008573A5" w:rsidRDefault="000D723D">
            <w:pPr>
              <w:jc w:val="both"/>
              <w:rPr>
                <w:lang w:val="uk-UA"/>
              </w:rPr>
            </w:pPr>
            <w:r w:rsidRPr="008573A5">
              <w:rPr>
                <w:lang w:val="uk-UA"/>
              </w:rPr>
              <w:t>В 2025 році наукові дослідження на водних об’єктах області не проводились.</w:t>
            </w:r>
          </w:p>
        </w:tc>
      </w:tr>
      <w:tr w:rsidR="001B00F2" w14:paraId="6A460FCF" w14:textId="77777777" w:rsidTr="001419A8">
        <w:tc>
          <w:tcPr>
            <w:tcW w:w="14943" w:type="dxa"/>
            <w:gridSpan w:val="5"/>
          </w:tcPr>
          <w:p w14:paraId="757024F0" w14:textId="77777777" w:rsidR="001B00F2" w:rsidRDefault="000A01F2">
            <w:pPr>
              <w:jc w:val="center"/>
              <w:rPr>
                <w:b/>
                <w:bCs/>
                <w:color w:val="FF0000"/>
                <w:lang w:val="uk-UA"/>
              </w:rPr>
            </w:pPr>
            <w:r>
              <w:rPr>
                <w:b/>
                <w:bCs/>
                <w:lang w:val="uk-UA"/>
              </w:rPr>
              <w:t>Рослинний та тваринний світ</w:t>
            </w:r>
          </w:p>
        </w:tc>
      </w:tr>
      <w:tr w:rsidR="001B00F2" w:rsidRPr="00644285" w14:paraId="7F7433EF" w14:textId="77777777" w:rsidTr="005913B9">
        <w:trPr>
          <w:gridAfter w:val="1"/>
          <w:wAfter w:w="14" w:type="dxa"/>
          <w:trHeight w:val="1642"/>
        </w:trPr>
        <w:tc>
          <w:tcPr>
            <w:tcW w:w="699" w:type="dxa"/>
          </w:tcPr>
          <w:p w14:paraId="1CD96586" w14:textId="439E1B91" w:rsidR="001B00F2" w:rsidRDefault="005C37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68" w:type="dxa"/>
          </w:tcPr>
          <w:p w14:paraId="5B1879AE" w14:textId="77777777" w:rsidR="001B00F2" w:rsidRPr="004830C1" w:rsidRDefault="000A01F2">
            <w:pPr>
              <w:spacing w:before="20" w:after="20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Перелік ідентифікованих місць зростання та перебування видів тварин та рослин занесених до Червоної книги України на місці провадження планованої діяльності.</w:t>
            </w:r>
          </w:p>
          <w:p w14:paraId="5500E44C" w14:textId="77777777" w:rsidR="001B00F2" w:rsidRPr="004830C1" w:rsidRDefault="001B00F2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963" w:type="dxa"/>
          </w:tcPr>
          <w:p w14:paraId="1E431A84" w14:textId="77777777" w:rsidR="001B00F2" w:rsidRDefault="001B00F2">
            <w:pPr>
              <w:jc w:val="both"/>
              <w:rPr>
                <w:lang w:val="uk-UA"/>
              </w:rPr>
            </w:pPr>
          </w:p>
        </w:tc>
        <w:tc>
          <w:tcPr>
            <w:tcW w:w="6899" w:type="dxa"/>
          </w:tcPr>
          <w:p w14:paraId="0F5D0ACE" w14:textId="77777777" w:rsidR="001B00F2" w:rsidRDefault="001B00F2">
            <w:pPr>
              <w:jc w:val="both"/>
              <w:rPr>
                <w:lang w:val="uk-UA"/>
              </w:rPr>
            </w:pPr>
          </w:p>
        </w:tc>
      </w:tr>
      <w:tr w:rsidR="000D723D" w:rsidRPr="00644285" w14:paraId="73BAC9FF" w14:textId="77777777" w:rsidTr="005913B9">
        <w:trPr>
          <w:gridAfter w:val="1"/>
          <w:wAfter w:w="14" w:type="dxa"/>
          <w:trHeight w:val="1640"/>
        </w:trPr>
        <w:tc>
          <w:tcPr>
            <w:tcW w:w="699" w:type="dxa"/>
          </w:tcPr>
          <w:p w14:paraId="27F95362" w14:textId="0E1997DF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6.1</w:t>
            </w:r>
          </w:p>
        </w:tc>
        <w:tc>
          <w:tcPr>
            <w:tcW w:w="5368" w:type="dxa"/>
          </w:tcPr>
          <w:p w14:paraId="23009E4F" w14:textId="63047F28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Червонокнижних видів риб що перебувають у водоймах Вінницької області, од.</w:t>
            </w:r>
          </w:p>
        </w:tc>
        <w:tc>
          <w:tcPr>
            <w:tcW w:w="1963" w:type="dxa"/>
          </w:tcPr>
          <w:p w14:paraId="796BF524" w14:textId="10B985F8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899" w:type="dxa"/>
          </w:tcPr>
          <w:p w14:paraId="6E61690E" w14:textId="094D66C3" w:rsidR="000D723D" w:rsidRPr="00660976" w:rsidRDefault="000D723D" w:rsidP="009A5248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>річка Південний Буг: марена звичайна, минь річковий.</w:t>
            </w:r>
          </w:p>
          <w:p w14:paraId="2A0824BD" w14:textId="77777777" w:rsidR="000D723D" w:rsidRPr="00660976" w:rsidRDefault="000D723D" w:rsidP="009A5248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val="uk-UA"/>
              </w:rPr>
              <w:t>р.</w:t>
            </w:r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>Дністер</w:t>
            </w:r>
            <w:proofErr w:type="spellEnd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 xml:space="preserve">: стерлядь прісноводна, </w:t>
            </w:r>
            <w:proofErr w:type="spellStart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>вирезуб</w:t>
            </w:r>
            <w:proofErr w:type="spellEnd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 xml:space="preserve"> причорноморський,  йорж смугастий, карась золотий (звичайний), ялець звичайний, </w:t>
            </w:r>
            <w:proofErr w:type="spellStart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>чоп</w:t>
            </w:r>
            <w:proofErr w:type="spellEnd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 xml:space="preserve"> великий (звичайний), </w:t>
            </w:r>
            <w:proofErr w:type="spellStart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>чоп</w:t>
            </w:r>
            <w:proofErr w:type="spellEnd"/>
            <w:r w:rsidRPr="00660976">
              <w:rPr>
                <w:rFonts w:eastAsia="Times New Roman"/>
                <w:color w:val="000000"/>
                <w:szCs w:val="28"/>
                <w:lang w:val="uk-UA"/>
              </w:rPr>
              <w:t xml:space="preserve"> малий, йорж носар, рибець, підуст.</w:t>
            </w:r>
          </w:p>
          <w:p w14:paraId="15763ACF" w14:textId="77777777" w:rsidR="000D723D" w:rsidRDefault="000D723D">
            <w:pPr>
              <w:jc w:val="both"/>
              <w:rPr>
                <w:lang w:val="uk-UA"/>
              </w:rPr>
            </w:pPr>
          </w:p>
        </w:tc>
      </w:tr>
      <w:tr w:rsidR="000D723D" w14:paraId="1884791F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5FE441AF" w14:textId="72ECC1D2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6.2</w:t>
            </w:r>
          </w:p>
        </w:tc>
        <w:tc>
          <w:tcPr>
            <w:tcW w:w="5368" w:type="dxa"/>
          </w:tcPr>
          <w:p w14:paraId="52B8AEC4" w14:textId="4555C91A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Кількість проведених заходів щодо збереження червонокнижних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uk-UA"/>
              </w:rPr>
              <w:t>риб,од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963" w:type="dxa"/>
          </w:tcPr>
          <w:p w14:paraId="3850CF2A" w14:textId="385534B7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99" w:type="dxa"/>
          </w:tcPr>
          <w:p w14:paraId="5A1E3881" w14:textId="6DF8CB4A" w:rsidR="000D723D" w:rsidRPr="007B40C3" w:rsidRDefault="000D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eastAsia="Times New Roman"/>
                <w:szCs w:val="28"/>
                <w:lang w:val="uk-UA"/>
              </w:rPr>
            </w:pPr>
            <w:r w:rsidRPr="007B40C3">
              <w:rPr>
                <w:rFonts w:eastAsia="Times New Roman"/>
                <w:szCs w:val="28"/>
                <w:lang w:val="uk-UA"/>
              </w:rPr>
              <w:t xml:space="preserve">У 2025 році </w:t>
            </w:r>
            <w:proofErr w:type="spellStart"/>
            <w:r w:rsidRPr="007B40C3">
              <w:rPr>
                <w:rFonts w:eastAsia="Times New Roman"/>
                <w:szCs w:val="28"/>
                <w:lang w:val="uk-UA"/>
              </w:rPr>
              <w:t>держінспекторами</w:t>
            </w:r>
            <w:proofErr w:type="spellEnd"/>
            <w:r w:rsidRPr="007B40C3">
              <w:rPr>
                <w:rFonts w:eastAsia="Times New Roman"/>
                <w:szCs w:val="28"/>
                <w:lang w:val="uk-UA"/>
              </w:rPr>
              <w:t xml:space="preserve"> Вінницького рибоохоронного патруля було викрито 9 порушень за ст. 90 КУпАП, вилов </w:t>
            </w:r>
            <w:proofErr w:type="spellStart"/>
            <w:r w:rsidRPr="007B40C3">
              <w:rPr>
                <w:rFonts w:eastAsia="Times New Roman"/>
                <w:szCs w:val="28"/>
                <w:lang w:val="uk-UA"/>
              </w:rPr>
              <w:t>вирезуба</w:t>
            </w:r>
            <w:proofErr w:type="spellEnd"/>
            <w:r w:rsidRPr="007B40C3">
              <w:rPr>
                <w:rFonts w:eastAsia="Times New Roman"/>
                <w:szCs w:val="28"/>
                <w:lang w:val="uk-UA"/>
              </w:rPr>
              <w:t xml:space="preserve"> та марени в р. Дністер. Матеріали направлено до суду.</w:t>
            </w:r>
          </w:p>
          <w:p w14:paraId="546A9935" w14:textId="77777777" w:rsidR="000D723D" w:rsidRPr="007B40C3" w:rsidRDefault="000D723D">
            <w:pPr>
              <w:jc w:val="both"/>
              <w:rPr>
                <w:lang w:val="uk-UA"/>
              </w:rPr>
            </w:pPr>
          </w:p>
        </w:tc>
      </w:tr>
      <w:tr w:rsidR="001B00F2" w:rsidRPr="00644285" w14:paraId="405E9E2E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2D275F32" w14:textId="182A6386" w:rsidR="001B00F2" w:rsidRDefault="005C37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5368" w:type="dxa"/>
          </w:tcPr>
          <w:p w14:paraId="5D2E7FCB" w14:textId="10C339E5" w:rsidR="001B00F2" w:rsidRPr="004830C1" w:rsidRDefault="000A01F2" w:rsidP="00827E6B">
            <w:pPr>
              <w:spacing w:before="20" w:after="20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Організація і здійснення державного регулювання та контролю за охороною, використанням і відтворенням тваринного світу, забезпеченням ведення моніторингу, державного кадастру та державного обліку об’єктів тваринного світу, які перебувають на їх території</w:t>
            </w:r>
          </w:p>
        </w:tc>
        <w:tc>
          <w:tcPr>
            <w:tcW w:w="1963" w:type="dxa"/>
          </w:tcPr>
          <w:p w14:paraId="5BE96789" w14:textId="77777777" w:rsidR="001B00F2" w:rsidRDefault="001B00F2" w:rsidP="00827E6B">
            <w:pPr>
              <w:jc w:val="center"/>
              <w:rPr>
                <w:lang w:val="uk-UA"/>
              </w:rPr>
            </w:pPr>
          </w:p>
        </w:tc>
        <w:tc>
          <w:tcPr>
            <w:tcW w:w="6899" w:type="dxa"/>
          </w:tcPr>
          <w:p w14:paraId="6854E2F0" w14:textId="77777777" w:rsidR="001B00F2" w:rsidRDefault="001B00F2">
            <w:pPr>
              <w:jc w:val="both"/>
              <w:rPr>
                <w:lang w:val="uk-UA"/>
              </w:rPr>
            </w:pPr>
          </w:p>
          <w:p w14:paraId="719F3710" w14:textId="77777777" w:rsidR="00827E6B" w:rsidRDefault="00827E6B">
            <w:pPr>
              <w:jc w:val="both"/>
              <w:rPr>
                <w:lang w:val="uk-UA"/>
              </w:rPr>
            </w:pPr>
          </w:p>
          <w:p w14:paraId="7F5EB68D" w14:textId="77777777" w:rsidR="00827E6B" w:rsidRDefault="00827E6B">
            <w:pPr>
              <w:jc w:val="both"/>
              <w:rPr>
                <w:lang w:val="uk-UA"/>
              </w:rPr>
            </w:pPr>
          </w:p>
          <w:p w14:paraId="3C91C809" w14:textId="77777777" w:rsidR="00827E6B" w:rsidRDefault="00827E6B">
            <w:pPr>
              <w:jc w:val="both"/>
              <w:rPr>
                <w:lang w:val="uk-UA"/>
              </w:rPr>
            </w:pPr>
          </w:p>
          <w:p w14:paraId="71A495F2" w14:textId="77777777" w:rsidR="00827E6B" w:rsidRDefault="00827E6B">
            <w:pPr>
              <w:jc w:val="both"/>
              <w:rPr>
                <w:lang w:val="uk-UA"/>
              </w:rPr>
            </w:pPr>
          </w:p>
          <w:p w14:paraId="30CADE5B" w14:textId="77777777" w:rsidR="00827E6B" w:rsidRDefault="00827E6B">
            <w:pPr>
              <w:jc w:val="both"/>
              <w:rPr>
                <w:lang w:val="uk-UA"/>
              </w:rPr>
            </w:pPr>
          </w:p>
          <w:p w14:paraId="197E8211" w14:textId="77777777" w:rsidR="00827E6B" w:rsidRDefault="00827E6B">
            <w:pPr>
              <w:jc w:val="both"/>
              <w:rPr>
                <w:lang w:val="uk-UA"/>
              </w:rPr>
            </w:pPr>
          </w:p>
          <w:p w14:paraId="3002D64C" w14:textId="77777777" w:rsidR="00827E6B" w:rsidRDefault="00827E6B">
            <w:pPr>
              <w:jc w:val="both"/>
              <w:rPr>
                <w:lang w:val="uk-UA"/>
              </w:rPr>
            </w:pPr>
          </w:p>
          <w:p w14:paraId="7D805B7C" w14:textId="77777777" w:rsidR="00827E6B" w:rsidRDefault="00827E6B">
            <w:pPr>
              <w:jc w:val="both"/>
              <w:rPr>
                <w:lang w:val="uk-UA"/>
              </w:rPr>
            </w:pPr>
          </w:p>
          <w:p w14:paraId="2435D5FA" w14:textId="77E3E976" w:rsidR="00827E6B" w:rsidRDefault="00827E6B">
            <w:pPr>
              <w:jc w:val="both"/>
              <w:rPr>
                <w:lang w:val="uk-UA"/>
              </w:rPr>
            </w:pPr>
          </w:p>
        </w:tc>
      </w:tr>
      <w:tr w:rsidR="005913B9" w14:paraId="218096CA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08E713B2" w14:textId="78AD894C" w:rsidR="005913B9" w:rsidRDefault="00591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5368" w:type="dxa"/>
          </w:tcPr>
          <w:p w14:paraId="23EB43FF" w14:textId="37451883" w:rsidR="005913B9" w:rsidRDefault="005913B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рейдів рибоохоронного патруля, од.</w:t>
            </w:r>
          </w:p>
        </w:tc>
        <w:tc>
          <w:tcPr>
            <w:tcW w:w="1963" w:type="dxa"/>
          </w:tcPr>
          <w:p w14:paraId="0397F768" w14:textId="6CF51FEF" w:rsidR="005913B9" w:rsidRPr="00EF22FC" w:rsidRDefault="005913B9" w:rsidP="00EF22FC">
            <w:pPr>
              <w:jc w:val="center"/>
              <w:rPr>
                <w:lang w:val="uk-UA"/>
              </w:rPr>
            </w:pPr>
            <w:r w:rsidRPr="00EF22FC">
              <w:rPr>
                <w:lang w:val="uk-UA"/>
              </w:rPr>
              <w:t>172</w:t>
            </w:r>
          </w:p>
        </w:tc>
        <w:tc>
          <w:tcPr>
            <w:tcW w:w="6899" w:type="dxa"/>
            <w:vMerge w:val="restart"/>
          </w:tcPr>
          <w:p w14:paraId="79C95F59" w14:textId="77777777" w:rsidR="005913B9" w:rsidRPr="00D443B9" w:rsidRDefault="005913B9" w:rsidP="007B564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  <w:lang w:val="uk-UA" w:eastAsia="zh-CN"/>
              </w:rPr>
              <w:t>В 2025 році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0A0707">
              <w:rPr>
                <w:sz w:val="28"/>
                <w:szCs w:val="28"/>
                <w:lang w:val="uk-UA" w:eastAsia="zh-CN"/>
              </w:rPr>
              <w:t xml:space="preserve">10 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державними інспекторами Вінницького рибоохоронного патруля було проведено </w:t>
            </w:r>
            <w:r w:rsidRPr="00EF22FC">
              <w:rPr>
                <w:sz w:val="28"/>
                <w:szCs w:val="28"/>
                <w:lang w:val="uk-UA" w:eastAsia="zh-CN"/>
              </w:rPr>
              <w:t>172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рибоохоронних рейдів на рибогосподарських водних об’єктах області,  місцях збуту рибної продукції та заборонених знарядь лову. В р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езультаті яких було викрито 1379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порушень рибоохоронного законодавства, в 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тому числі: 1265 порушень за незаконний вилов риби, 5 порушень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за незаконний продаж риби на ринках та 4 порушення за п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родаж заборонених знарядь лову, 9 порушень за вилов Червонокнижних видів риб, 1 порушення за забір води без рибозахисного пристрою, складено 95 актів вилучення безхазяйного майна.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У порушникі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в правил рибальства вилучено 298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одиниць заборонених знарядь лову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, в тому числі 113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за актами безхазяйного майна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 xml:space="preserve"> і 1144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кг незаконно виловленої риби, 23 одиниці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транспортних засобів.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 xml:space="preserve"> По 129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справах матеріали передано на розгляд до суду. Вінницьким рибоохоронним патрулем  нар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аховано збитків на суму 11903547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грн. 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По 23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справах матеріали </w:t>
            </w:r>
            <w:proofErr w:type="spellStart"/>
            <w:r w:rsidRPr="00D443B9">
              <w:rPr>
                <w:color w:val="000000"/>
                <w:sz w:val="28"/>
                <w:szCs w:val="28"/>
                <w:lang w:val="uk-UA" w:eastAsia="zh-CN"/>
              </w:rPr>
              <w:t>внесено</w:t>
            </w:r>
            <w:proofErr w:type="spellEnd"/>
            <w:r w:rsidRPr="00D443B9">
              <w:rPr>
                <w:color w:val="000000"/>
                <w:sz w:val="28"/>
                <w:szCs w:val="28"/>
                <w:lang w:val="uk-UA" w:eastAsia="zh-CN"/>
              </w:rPr>
              <w:t xml:space="preserve"> до Єдиного реєстру досудових розслідувань за ознаками </w:t>
            </w:r>
            <w:r w:rsidRPr="00D443B9">
              <w:rPr>
                <w:color w:val="000000"/>
                <w:sz w:val="28"/>
                <w:szCs w:val="28"/>
                <w:lang w:val="uk-UA" w:eastAsia="zh-CN"/>
              </w:rPr>
              <w:lastRenderedPageBreak/>
              <w:t>кримінального правопорушення, передбаченого ч. 1 ст. 249 КК України.</w:t>
            </w:r>
          </w:p>
          <w:p w14:paraId="6D639CBB" w14:textId="585D050F" w:rsidR="005913B9" w:rsidRDefault="005913B9" w:rsidP="00F12431">
            <w:pPr>
              <w:jc w:val="both"/>
              <w:rPr>
                <w:lang w:val="uk-UA"/>
              </w:rPr>
            </w:pPr>
          </w:p>
        </w:tc>
      </w:tr>
      <w:tr w:rsidR="005913B9" w:rsidRPr="00D443B9" w14:paraId="2E90DD4C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5D2589BD" w14:textId="282DB928" w:rsidR="005913B9" w:rsidRDefault="00591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</w:p>
        </w:tc>
        <w:tc>
          <w:tcPr>
            <w:tcW w:w="5368" w:type="dxa"/>
          </w:tcPr>
          <w:p w14:paraId="04220702" w14:textId="6A7FF7F2" w:rsidR="005913B9" w:rsidRDefault="005913B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Кількість виявлених порушень правил вилову та реалізації водних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uk-UA"/>
              </w:rPr>
              <w:t>біоресурсів,од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963" w:type="dxa"/>
          </w:tcPr>
          <w:p w14:paraId="35EFAE44" w14:textId="693C8D2A" w:rsidR="005913B9" w:rsidRDefault="005913B9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1379</w:t>
            </w:r>
          </w:p>
        </w:tc>
        <w:tc>
          <w:tcPr>
            <w:tcW w:w="6899" w:type="dxa"/>
            <w:vMerge/>
          </w:tcPr>
          <w:p w14:paraId="733760FE" w14:textId="4744D016" w:rsidR="005913B9" w:rsidRPr="00D443B9" w:rsidRDefault="005913B9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</w:tr>
      <w:tr w:rsidR="00CA624E" w14:paraId="6DCA6A85" w14:textId="77777777" w:rsidTr="001419A8">
        <w:tc>
          <w:tcPr>
            <w:tcW w:w="14943" w:type="dxa"/>
            <w:gridSpan w:val="5"/>
          </w:tcPr>
          <w:p w14:paraId="06866B2E" w14:textId="77777777" w:rsidR="00CA624E" w:rsidRDefault="00CA624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Відходи</w:t>
            </w:r>
          </w:p>
        </w:tc>
      </w:tr>
      <w:tr w:rsidR="000D723D" w14:paraId="1BBDB189" w14:textId="77777777" w:rsidTr="005913B9">
        <w:tc>
          <w:tcPr>
            <w:tcW w:w="699" w:type="dxa"/>
          </w:tcPr>
          <w:p w14:paraId="096573F8" w14:textId="0C29649E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68" w:type="dxa"/>
          </w:tcPr>
          <w:p w14:paraId="141EAA1E" w14:textId="77777777" w:rsidR="000D723D" w:rsidRPr="004830C1" w:rsidRDefault="000D723D">
            <w:pPr>
              <w:spacing w:before="20" w:after="20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Кількість утворених відходів</w:t>
            </w:r>
          </w:p>
        </w:tc>
        <w:tc>
          <w:tcPr>
            <w:tcW w:w="1963" w:type="dxa"/>
          </w:tcPr>
          <w:p w14:paraId="46B87456" w14:textId="77777777" w:rsidR="000D723D" w:rsidRDefault="000D723D" w:rsidP="005779EF">
            <w:pPr>
              <w:jc w:val="center"/>
              <w:rPr>
                <w:lang w:val="uk-UA"/>
              </w:rPr>
            </w:pPr>
          </w:p>
        </w:tc>
        <w:tc>
          <w:tcPr>
            <w:tcW w:w="6913" w:type="dxa"/>
            <w:gridSpan w:val="2"/>
          </w:tcPr>
          <w:p w14:paraId="44AC296A" w14:textId="71403183" w:rsidR="000D723D" w:rsidRDefault="000D723D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Загибель 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водних біоресурсів не зафіксовано. Відходи відсутні.</w:t>
            </w:r>
          </w:p>
        </w:tc>
      </w:tr>
      <w:tr w:rsidR="00CA624E" w14:paraId="47A74923" w14:textId="77777777" w:rsidTr="001419A8">
        <w:tc>
          <w:tcPr>
            <w:tcW w:w="14943" w:type="dxa"/>
            <w:gridSpan w:val="5"/>
          </w:tcPr>
          <w:p w14:paraId="57508912" w14:textId="77777777" w:rsidR="00CA624E" w:rsidRDefault="00CA624E">
            <w:pPr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Здоров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  <w:lang w:val="uk-UA"/>
              </w:rPr>
              <w:t>я населення</w:t>
            </w:r>
          </w:p>
        </w:tc>
      </w:tr>
      <w:tr w:rsidR="000D723D" w:rsidRPr="00644285" w14:paraId="564931FD" w14:textId="77777777" w:rsidTr="005913B9">
        <w:tc>
          <w:tcPr>
            <w:tcW w:w="699" w:type="dxa"/>
          </w:tcPr>
          <w:p w14:paraId="77AD9622" w14:textId="150FC604" w:rsidR="000D723D" w:rsidRPr="005C3748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68" w:type="dxa"/>
          </w:tcPr>
          <w:p w14:paraId="59658F0F" w14:textId="77777777" w:rsidR="000D723D" w:rsidRPr="004830C1" w:rsidRDefault="000D723D">
            <w:pPr>
              <w:spacing w:before="20" w:after="20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 xml:space="preserve">Захворюваність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населення:за</w:t>
            </w:r>
            <w:proofErr w:type="spellEnd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 xml:space="preserve"> загальним рівнем захворюваності та за окремими класами </w:t>
            </w:r>
            <w:proofErr w:type="spellStart"/>
            <w:r w:rsidRPr="004830C1"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хвороб</w:t>
            </w:r>
            <w:proofErr w:type="spellEnd"/>
          </w:p>
        </w:tc>
        <w:tc>
          <w:tcPr>
            <w:tcW w:w="1963" w:type="dxa"/>
          </w:tcPr>
          <w:p w14:paraId="1DB79869" w14:textId="77777777" w:rsidR="000D723D" w:rsidRDefault="000D723D" w:rsidP="005779EF">
            <w:pPr>
              <w:jc w:val="center"/>
              <w:rPr>
                <w:lang w:val="uk-UA"/>
              </w:rPr>
            </w:pPr>
          </w:p>
        </w:tc>
        <w:tc>
          <w:tcPr>
            <w:tcW w:w="6913" w:type="dxa"/>
            <w:gridSpan w:val="2"/>
          </w:tcPr>
          <w:p w14:paraId="60765174" w14:textId="77777777" w:rsidR="000D723D" w:rsidRPr="00F607A8" w:rsidRDefault="000D723D" w:rsidP="00704E0B">
            <w:pPr>
              <w:ind w:firstLine="709"/>
              <w:jc w:val="both"/>
              <w:rPr>
                <w:szCs w:val="28"/>
                <w:lang w:val="uk-UA"/>
              </w:rPr>
            </w:pPr>
            <w:r w:rsidRPr="00F607A8">
              <w:rPr>
                <w:szCs w:val="28"/>
                <w:lang w:val="uk-UA"/>
              </w:rPr>
              <w:t>Загальна захворюваність всього населення з</w:t>
            </w:r>
            <w:r>
              <w:rPr>
                <w:szCs w:val="28"/>
                <w:lang w:val="uk-UA"/>
              </w:rPr>
              <w:t>мен</w:t>
            </w:r>
            <w:r w:rsidRPr="00F607A8">
              <w:rPr>
                <w:szCs w:val="28"/>
                <w:lang w:val="uk-UA"/>
              </w:rPr>
              <w:t xml:space="preserve">шилась на </w:t>
            </w:r>
            <w:r>
              <w:rPr>
                <w:szCs w:val="28"/>
                <w:lang w:val="uk-UA"/>
              </w:rPr>
              <w:t>2</w:t>
            </w:r>
            <w:r w:rsidRPr="00F607A8">
              <w:rPr>
                <w:szCs w:val="28"/>
                <w:lang w:val="uk-UA"/>
              </w:rPr>
              <w:t>% (з 16</w:t>
            </w:r>
            <w:r>
              <w:rPr>
                <w:szCs w:val="28"/>
                <w:lang w:val="uk-UA"/>
              </w:rPr>
              <w:t>849</w:t>
            </w:r>
            <w:r w:rsidRPr="00F607A8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4</w:t>
            </w:r>
            <w:r w:rsidRPr="00F607A8">
              <w:rPr>
                <w:szCs w:val="28"/>
                <w:lang w:val="uk-UA"/>
              </w:rPr>
              <w:t xml:space="preserve">  до 16</w:t>
            </w:r>
            <w:r>
              <w:rPr>
                <w:szCs w:val="28"/>
                <w:lang w:val="uk-UA"/>
              </w:rPr>
              <w:t>648</w:t>
            </w:r>
            <w:r w:rsidRPr="00F607A8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7</w:t>
            </w:r>
            <w:r w:rsidRPr="00F607A8">
              <w:rPr>
                <w:szCs w:val="28"/>
                <w:lang w:val="uk-UA"/>
              </w:rPr>
              <w:t xml:space="preserve">  на 10 тисяч всього населення). </w:t>
            </w:r>
          </w:p>
          <w:p w14:paraId="361FB040" w14:textId="77777777" w:rsidR="000D723D" w:rsidRDefault="000D723D" w:rsidP="00704E0B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TimesNewRomanPSMT"/>
                <w:bCs/>
                <w:iCs/>
                <w:szCs w:val="28"/>
                <w:lang w:val="uk-UA" w:eastAsia="ru-RU"/>
              </w:rPr>
            </w:pPr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Аналіз структури загальної захворюваності серед населення області показав, що перші п’ять рангових місць у 2025 році </w:t>
            </w:r>
            <w:bookmarkStart w:id="0" w:name="_Hlk191546065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>(</w:t>
            </w:r>
            <w:bookmarkStart w:id="1" w:name="_Hlk191547316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>як і протягом останніх трьох років</w:t>
            </w:r>
            <w:bookmarkEnd w:id="1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>)</w:t>
            </w:r>
            <w:bookmarkEnd w:id="0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 посідають наступні класи </w:t>
            </w:r>
            <w:proofErr w:type="spellStart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>хвороб</w:t>
            </w:r>
            <w:proofErr w:type="spellEnd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: системи кровообігу – 30,6%, органів дихання – 18,5%, ендокринної системи – 9,5%, органів травлення – </w:t>
            </w:r>
            <w:r w:rsidRPr="00295B76">
              <w:rPr>
                <w:rFonts w:eastAsia="TimesNewRomanPSMT"/>
                <w:bCs/>
                <w:iCs/>
                <w:szCs w:val="28"/>
                <w:lang w:val="uk-UA" w:eastAsia="ru-RU"/>
              </w:rPr>
              <w:t>8,6%, кістково-м’язової системи – 8,3%.</w:t>
            </w:r>
          </w:p>
          <w:p w14:paraId="78B94A4F" w14:textId="77777777" w:rsidR="000D723D" w:rsidRPr="00295B76" w:rsidRDefault="000D723D" w:rsidP="00704E0B">
            <w:pPr>
              <w:ind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2025 році п</w:t>
            </w:r>
            <w:r w:rsidRPr="00F607A8">
              <w:rPr>
                <w:szCs w:val="28"/>
                <w:lang w:val="uk-UA"/>
              </w:rPr>
              <w:t>ервинна захворюваність всього населення з</w:t>
            </w:r>
            <w:r>
              <w:rPr>
                <w:szCs w:val="28"/>
                <w:lang w:val="uk-UA"/>
              </w:rPr>
              <w:t>мен</w:t>
            </w:r>
            <w:r w:rsidRPr="00F607A8">
              <w:rPr>
                <w:szCs w:val="28"/>
                <w:lang w:val="uk-UA"/>
              </w:rPr>
              <w:t xml:space="preserve">шилась на </w:t>
            </w:r>
            <w:r>
              <w:rPr>
                <w:szCs w:val="28"/>
                <w:lang w:val="uk-UA"/>
              </w:rPr>
              <w:t>3</w:t>
            </w:r>
            <w:r w:rsidRPr="00F607A8">
              <w:rPr>
                <w:szCs w:val="28"/>
                <w:lang w:val="uk-UA"/>
              </w:rPr>
              <w:t>% (з 4</w:t>
            </w:r>
            <w:r>
              <w:rPr>
                <w:szCs w:val="28"/>
                <w:lang w:val="uk-UA"/>
              </w:rPr>
              <w:t>846</w:t>
            </w:r>
            <w:r w:rsidRPr="00F607A8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2</w:t>
            </w:r>
            <w:r w:rsidRPr="00F607A8">
              <w:rPr>
                <w:szCs w:val="28"/>
                <w:lang w:val="uk-UA"/>
              </w:rPr>
              <w:t xml:space="preserve"> до 4</w:t>
            </w:r>
            <w:r>
              <w:rPr>
                <w:szCs w:val="28"/>
                <w:lang w:val="uk-UA"/>
              </w:rPr>
              <w:t>742</w:t>
            </w:r>
            <w:r w:rsidRPr="00F607A8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0</w:t>
            </w:r>
            <w:r w:rsidRPr="00F607A8">
              <w:rPr>
                <w:szCs w:val="28"/>
                <w:lang w:val="uk-UA"/>
              </w:rPr>
              <w:t xml:space="preserve"> на 10 тисяч всього населення).</w:t>
            </w:r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 </w:t>
            </w:r>
          </w:p>
          <w:p w14:paraId="7764A857" w14:textId="77777777" w:rsidR="000D723D" w:rsidRPr="00295B76" w:rsidRDefault="000D723D" w:rsidP="00704E0B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TimesNewRomanPSMT"/>
                <w:bCs/>
                <w:iCs/>
                <w:szCs w:val="28"/>
                <w:lang w:val="uk-UA" w:eastAsia="ru-RU"/>
              </w:rPr>
            </w:pPr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В структурі первинної захворюваності області класи </w:t>
            </w:r>
            <w:proofErr w:type="spellStart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>хвороб</w:t>
            </w:r>
            <w:proofErr w:type="spellEnd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 розподілились наступним чином: перше рангове місце у 2025 році (як і протягом останніх трьох років) займали хвороби органів дихання – 52,6%, друге місце займали хвороби кровообігу – 7,8%, третє - </w:t>
            </w:r>
            <w:bookmarkStart w:id="2" w:name="_Hlk191548166"/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травми та отруєння – </w:t>
            </w:r>
            <w:r w:rsidRPr="00295B76"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5,4%, </w:t>
            </w:r>
            <w:bookmarkEnd w:id="2"/>
            <w:r w:rsidRPr="00295B76">
              <w:rPr>
                <w:rFonts w:eastAsia="TimesNewRomanPSMT"/>
                <w:bCs/>
                <w:iCs/>
                <w:szCs w:val="28"/>
                <w:lang w:val="uk-UA" w:eastAsia="ru-RU"/>
              </w:rPr>
              <w:t>четверте – хвороби кістково-м’язової системи – 4,8%, п’яте – хвороби ока та придаткового апарату – 3,7%.</w:t>
            </w:r>
            <w:r>
              <w:rPr>
                <w:rFonts w:eastAsia="TimesNewRomanPSMT"/>
                <w:bCs/>
                <w:iCs/>
                <w:szCs w:val="28"/>
                <w:lang w:val="uk-UA" w:eastAsia="ru-RU"/>
              </w:rPr>
              <w:t xml:space="preserve"> </w:t>
            </w:r>
          </w:p>
          <w:p w14:paraId="0D321B2C" w14:textId="4DEEE28E" w:rsidR="000D723D" w:rsidRDefault="000D723D">
            <w:pPr>
              <w:jc w:val="both"/>
              <w:rPr>
                <w:lang w:val="uk-UA"/>
              </w:rPr>
            </w:pPr>
          </w:p>
        </w:tc>
      </w:tr>
      <w:tr w:rsidR="00CA624E" w14:paraId="5C2B5330" w14:textId="77777777" w:rsidTr="001419A8">
        <w:tc>
          <w:tcPr>
            <w:tcW w:w="14943" w:type="dxa"/>
            <w:gridSpan w:val="5"/>
          </w:tcPr>
          <w:p w14:paraId="510F89EE" w14:textId="77777777" w:rsidR="00CA624E" w:rsidRDefault="00CA624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Агітаційно – просвітницька робота</w:t>
            </w:r>
          </w:p>
        </w:tc>
      </w:tr>
      <w:tr w:rsidR="000D723D" w:rsidRPr="00644285" w14:paraId="3F4FD527" w14:textId="77777777" w:rsidTr="005913B9">
        <w:trPr>
          <w:gridAfter w:val="1"/>
          <w:wAfter w:w="14" w:type="dxa"/>
          <w:trHeight w:val="1699"/>
        </w:trPr>
        <w:tc>
          <w:tcPr>
            <w:tcW w:w="699" w:type="dxa"/>
          </w:tcPr>
          <w:p w14:paraId="05234F94" w14:textId="4CC9D486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5368" w:type="dxa"/>
          </w:tcPr>
          <w:p w14:paraId="36B08CE6" w14:textId="62D06E45" w:rsidR="000D723D" w:rsidRPr="000B42F6" w:rsidRDefault="000D723D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П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ублікації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(виступи)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в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засоб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ах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масової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>, шт.</w:t>
            </w:r>
          </w:p>
          <w:p w14:paraId="2E1A2CDF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63" w:type="dxa"/>
          </w:tcPr>
          <w:p w14:paraId="233EFFB7" w14:textId="66BAD596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99" w:type="dxa"/>
          </w:tcPr>
          <w:p w14:paraId="54724E9D" w14:textId="77777777" w:rsidR="000D723D" w:rsidRPr="00BB7F2C" w:rsidRDefault="000D723D" w:rsidP="003B404E">
            <w:pPr>
              <w:rPr>
                <w:rFonts w:eastAsia="Times New Roman"/>
                <w:color w:val="000000"/>
                <w:szCs w:val="28"/>
                <w:lang w:val="uk-UA"/>
              </w:rPr>
            </w:pPr>
            <w:proofErr w:type="spellStart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Відеосюжет</w:t>
            </w:r>
            <w:proofErr w:type="spellEnd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 xml:space="preserve">:  - 9 </w:t>
            </w:r>
          </w:p>
          <w:p w14:paraId="403EC6AF" w14:textId="77777777" w:rsidR="000D723D" w:rsidRPr="00BB7F2C" w:rsidRDefault="000D723D" w:rsidP="003B404E">
            <w:pPr>
              <w:rPr>
                <w:rFonts w:eastAsia="Times New Roman"/>
                <w:color w:val="000000"/>
                <w:szCs w:val="28"/>
                <w:lang w:val="uk-UA"/>
              </w:rPr>
            </w:pPr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Радіо – 1</w:t>
            </w:r>
          </w:p>
          <w:p w14:paraId="2E302EB7" w14:textId="7833651C" w:rsidR="000D723D" w:rsidRPr="00BB7F2C" w:rsidRDefault="000D723D" w:rsidP="00AD724A">
            <w:pPr>
              <w:rPr>
                <w:rFonts w:eastAsia="Times New Roman"/>
                <w:color w:val="000000"/>
                <w:szCs w:val="28"/>
                <w:lang w:val="uk-UA"/>
              </w:rPr>
            </w:pPr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 xml:space="preserve">Друковані видання : «Вісті </w:t>
            </w:r>
            <w:proofErr w:type="spellStart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Липовецькі</w:t>
            </w:r>
            <w:proofErr w:type="spellEnd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 xml:space="preserve">», «Вісник </w:t>
            </w:r>
            <w:proofErr w:type="spellStart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Козятинщини</w:t>
            </w:r>
            <w:proofErr w:type="spellEnd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», «Ямпільські вісті», «Трибуна праці», «Життєві обрії», «Жмеринська газета», «</w:t>
            </w:r>
            <w:proofErr w:type="spellStart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Прапорт</w:t>
            </w:r>
            <w:proofErr w:type="spellEnd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 xml:space="preserve"> Перемоги» - 18</w:t>
            </w:r>
          </w:p>
          <w:p w14:paraId="2F53DCF1" w14:textId="77777777" w:rsidR="000D723D" w:rsidRPr="00557F79" w:rsidRDefault="000D723D">
            <w:pPr>
              <w:jc w:val="both"/>
              <w:rPr>
                <w:color w:val="FF0000"/>
                <w:lang w:val="uk-UA"/>
              </w:rPr>
            </w:pPr>
          </w:p>
        </w:tc>
      </w:tr>
      <w:tr w:rsidR="000D723D" w14:paraId="403B2FDE" w14:textId="77777777" w:rsidTr="005913B9">
        <w:trPr>
          <w:gridAfter w:val="1"/>
          <w:wAfter w:w="14" w:type="dxa"/>
          <w:trHeight w:val="1612"/>
        </w:trPr>
        <w:tc>
          <w:tcPr>
            <w:tcW w:w="699" w:type="dxa"/>
          </w:tcPr>
          <w:p w14:paraId="74B11D92" w14:textId="4CB68B3D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368" w:type="dxa"/>
          </w:tcPr>
          <w:p w14:paraId="49C8532A" w14:textId="60A9CCFC" w:rsidR="000D723D" w:rsidRDefault="000D723D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Публікування на офіційному сайті Департаменту агропромислового розвитку Вінницької обласної військової адміністрації (сторінка </w:t>
            </w:r>
            <w:r>
              <w:rPr>
                <w:rFonts w:eastAsia="Times New Roman"/>
                <w:color w:val="000000"/>
                <w:szCs w:val="28"/>
                <w:lang w:val="en-US"/>
              </w:rPr>
              <w:t>Facebook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),шт.</w:t>
            </w:r>
          </w:p>
          <w:p w14:paraId="252B461B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22CEEB66" w14:textId="35019B3A" w:rsidR="000D723D" w:rsidRPr="00704E0B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99" w:type="dxa"/>
          </w:tcPr>
          <w:p w14:paraId="49A7AA40" w14:textId="0C6BE8CE" w:rsidR="000D723D" w:rsidRDefault="000D723D">
            <w:pPr>
              <w:jc w:val="both"/>
              <w:rPr>
                <w:lang w:val="uk-UA"/>
              </w:rPr>
            </w:pPr>
          </w:p>
        </w:tc>
      </w:tr>
      <w:tr w:rsidR="000D723D" w:rsidRPr="00644285" w14:paraId="3D946EDA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39A83097" w14:textId="2E9232F7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68" w:type="dxa"/>
          </w:tcPr>
          <w:p w14:paraId="045CDBA3" w14:textId="0CB00368" w:rsidR="000D723D" w:rsidRPr="000B42F6" w:rsidRDefault="000D723D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П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ублікування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соціальних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мережах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, шт.</w:t>
            </w:r>
          </w:p>
          <w:p w14:paraId="7962BA54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70BECD79" w14:textId="5B917CE6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970</w:t>
            </w:r>
          </w:p>
        </w:tc>
        <w:tc>
          <w:tcPr>
            <w:tcW w:w="6899" w:type="dxa"/>
          </w:tcPr>
          <w:p w14:paraId="6B58EA72" w14:textId="01ACC1BF" w:rsidR="000D723D" w:rsidRPr="00BB7F2C" w:rsidRDefault="000D723D" w:rsidP="00BB7F2C">
            <w:pPr>
              <w:rPr>
                <w:rFonts w:eastAsia="Times New Roman"/>
                <w:color w:val="000000"/>
                <w:szCs w:val="28"/>
                <w:lang w:val="uk-UA"/>
              </w:rPr>
            </w:pPr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В Інтернет мережі було висвітлено 981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інформаційних матеріалів, </w:t>
            </w:r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 xml:space="preserve">у тому числі 436 публікації на офіційній сторінці </w:t>
            </w:r>
            <w:proofErr w:type="spellStart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Facebook</w:t>
            </w:r>
            <w:proofErr w:type="spellEnd"/>
            <w:r w:rsidRPr="00BB7F2C">
              <w:rPr>
                <w:rFonts w:eastAsia="Times New Roman"/>
                <w:color w:val="000000"/>
                <w:szCs w:val="28"/>
                <w:lang w:val="uk-UA"/>
              </w:rPr>
              <w:t>, 185 на офіційному сайті територіального органу та 349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публікація в Інтернет – мережі.</w:t>
            </w:r>
          </w:p>
          <w:p w14:paraId="3523E852" w14:textId="1AE8D1A1" w:rsidR="000D723D" w:rsidRDefault="000D723D">
            <w:pPr>
              <w:jc w:val="both"/>
              <w:rPr>
                <w:lang w:val="uk-UA"/>
              </w:rPr>
            </w:pPr>
          </w:p>
        </w:tc>
      </w:tr>
      <w:tr w:rsidR="000D723D" w14:paraId="5DF9EA8E" w14:textId="77777777" w:rsidTr="005913B9">
        <w:trPr>
          <w:gridAfter w:val="1"/>
          <w:wAfter w:w="14" w:type="dxa"/>
        </w:trPr>
        <w:tc>
          <w:tcPr>
            <w:tcW w:w="699" w:type="dxa"/>
          </w:tcPr>
          <w:p w14:paraId="026D6B9A" w14:textId="3DCD2CA0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68" w:type="dxa"/>
          </w:tcPr>
          <w:p w14:paraId="3AC5B495" w14:textId="074D2FB5" w:rsidR="000D723D" w:rsidRPr="000B42F6" w:rsidRDefault="000D723D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Р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озробка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складання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методичних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матеріалів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екологічного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гігієнічного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виховання</w:t>
            </w:r>
            <w:proofErr w:type="spellEnd"/>
            <w:r>
              <w:rPr>
                <w:rFonts w:eastAsia="Times New Roman"/>
                <w:color w:val="000000"/>
                <w:szCs w:val="28"/>
                <w:lang w:val="uk-UA"/>
              </w:rPr>
              <w:t>,од.</w:t>
            </w:r>
          </w:p>
          <w:p w14:paraId="4DAD9677" w14:textId="77777777" w:rsidR="000D723D" w:rsidRDefault="000D723D">
            <w:pPr>
              <w:spacing w:before="20" w:after="20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63" w:type="dxa"/>
          </w:tcPr>
          <w:p w14:paraId="10B9C1AF" w14:textId="37D8820A" w:rsidR="000D723D" w:rsidRDefault="000D723D" w:rsidP="00577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899" w:type="dxa"/>
          </w:tcPr>
          <w:p w14:paraId="40E5A4BE" w14:textId="766F012B" w:rsidR="000D723D" w:rsidRPr="001233F6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Розроблено</w:t>
            </w:r>
            <w:r w:rsidRPr="001233F6">
              <w:rPr>
                <w:lang w:val="uk-UA"/>
              </w:rPr>
              <w:t xml:space="preserve"> </w:t>
            </w:r>
            <w:proofErr w:type="spellStart"/>
            <w:r w:rsidRPr="001233F6">
              <w:rPr>
                <w:lang w:val="uk-UA"/>
              </w:rPr>
              <w:t>пам</w:t>
            </w:r>
            <w:proofErr w:type="spellEnd"/>
            <w:r w:rsidRPr="0094231D">
              <w:t>’</w:t>
            </w:r>
            <w:r w:rsidRPr="001233F6">
              <w:rPr>
                <w:lang w:val="uk-UA"/>
              </w:rPr>
              <w:t>ятку «Правила любительського рибальства»</w:t>
            </w:r>
            <w:r>
              <w:rPr>
                <w:lang w:val="uk-UA"/>
              </w:rPr>
              <w:t>. Підготовлено та розповсюджено 8 видів листівок щодо встановлення заборони на вилов риби на зимувальних ямах та під час нересту, а також заборону на вилов раків загальною кількістю 5500  екземплярів.</w:t>
            </w:r>
          </w:p>
          <w:p w14:paraId="68569E0B" w14:textId="48833D28" w:rsidR="000D723D" w:rsidRDefault="000D72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</w:t>
            </w:r>
            <w:r w:rsidRPr="001233F6">
              <w:rPr>
                <w:lang w:val="uk-UA"/>
              </w:rPr>
              <w:t>н</w:t>
            </w:r>
            <w:r>
              <w:rPr>
                <w:lang w:val="uk-UA"/>
              </w:rPr>
              <w:t>і</w:t>
            </w:r>
            <w:r w:rsidRPr="001233F6">
              <w:rPr>
                <w:lang w:val="uk-UA"/>
              </w:rPr>
              <w:t xml:space="preserve"> бесіди з рибалками-любителями</w:t>
            </w:r>
          </w:p>
        </w:tc>
      </w:tr>
    </w:tbl>
    <w:p w14:paraId="1E41A3E1" w14:textId="77777777" w:rsidR="001B00F2" w:rsidRDefault="001B00F2">
      <w:pPr>
        <w:spacing w:after="0"/>
        <w:jc w:val="both"/>
        <w:rPr>
          <w:lang w:val="uk-UA"/>
        </w:rPr>
      </w:pPr>
      <w:bookmarkStart w:id="3" w:name="_GoBack"/>
      <w:bookmarkEnd w:id="3"/>
    </w:p>
    <w:p w14:paraId="07396BB5" w14:textId="77777777" w:rsidR="00E71A2E" w:rsidRDefault="00E71A2E">
      <w:pPr>
        <w:spacing w:after="0"/>
        <w:jc w:val="both"/>
        <w:rPr>
          <w:lang w:val="uk-UA"/>
        </w:rPr>
      </w:pPr>
    </w:p>
    <w:sectPr w:rsidR="00E71A2E" w:rsidSect="00827E6B">
      <w:endnotePr>
        <w:numFmt w:val="decimal"/>
      </w:endnotePr>
      <w:pgSz w:w="16838" w:h="11906" w:orient="landscape"/>
      <w:pgMar w:top="851" w:right="1134" w:bottom="993" w:left="1134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1CD1"/>
    <w:multiLevelType w:val="hybridMultilevel"/>
    <w:tmpl w:val="74464572"/>
    <w:lvl w:ilvl="0" w:tplc="A4A017A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EA0818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BFE18D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4708C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2F226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B4081C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6B0E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8B8DDB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79E6F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D406C1"/>
    <w:multiLevelType w:val="hybridMultilevel"/>
    <w:tmpl w:val="902C7814"/>
    <w:name w:val="Нумерованный список 1"/>
    <w:lvl w:ilvl="0" w:tplc="064CF520"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sz w:val="28"/>
        <w:u w:val="single"/>
      </w:rPr>
    </w:lvl>
    <w:lvl w:ilvl="1" w:tplc="93965C20">
      <w:numFmt w:val="bullet"/>
      <w:lvlText w:val="o"/>
      <w:lvlJc w:val="left"/>
      <w:pPr>
        <w:ind w:left="1429" w:firstLine="0"/>
      </w:pPr>
      <w:rPr>
        <w:rFonts w:ascii="Courier New" w:hAnsi="Courier New" w:cs="Courier New"/>
      </w:rPr>
    </w:lvl>
    <w:lvl w:ilvl="2" w:tplc="C480F6F2">
      <w:numFmt w:val="bullet"/>
      <w:lvlText w:val=""/>
      <w:lvlJc w:val="left"/>
      <w:pPr>
        <w:ind w:left="2149" w:firstLine="0"/>
      </w:pPr>
      <w:rPr>
        <w:rFonts w:ascii="Wingdings" w:eastAsia="Wingdings" w:hAnsi="Wingdings" w:cs="Wingdings"/>
      </w:rPr>
    </w:lvl>
    <w:lvl w:ilvl="3" w:tplc="49FA6612">
      <w:numFmt w:val="bullet"/>
      <w:lvlText w:val=""/>
      <w:lvlJc w:val="left"/>
      <w:pPr>
        <w:ind w:left="2869" w:firstLine="0"/>
      </w:pPr>
      <w:rPr>
        <w:rFonts w:ascii="Symbol" w:hAnsi="Symbol"/>
      </w:rPr>
    </w:lvl>
    <w:lvl w:ilvl="4" w:tplc="2DF460EE">
      <w:numFmt w:val="bullet"/>
      <w:lvlText w:val="o"/>
      <w:lvlJc w:val="left"/>
      <w:pPr>
        <w:ind w:left="3589" w:firstLine="0"/>
      </w:pPr>
      <w:rPr>
        <w:rFonts w:ascii="Courier New" w:hAnsi="Courier New" w:cs="Courier New"/>
      </w:rPr>
    </w:lvl>
    <w:lvl w:ilvl="5" w:tplc="1E809ABE">
      <w:numFmt w:val="bullet"/>
      <w:lvlText w:val=""/>
      <w:lvlJc w:val="left"/>
      <w:pPr>
        <w:ind w:left="4309" w:firstLine="0"/>
      </w:pPr>
      <w:rPr>
        <w:rFonts w:ascii="Wingdings" w:eastAsia="Wingdings" w:hAnsi="Wingdings" w:cs="Wingdings"/>
      </w:rPr>
    </w:lvl>
    <w:lvl w:ilvl="6" w:tplc="06309BA2">
      <w:numFmt w:val="bullet"/>
      <w:lvlText w:val=""/>
      <w:lvlJc w:val="left"/>
      <w:pPr>
        <w:ind w:left="5029" w:firstLine="0"/>
      </w:pPr>
      <w:rPr>
        <w:rFonts w:ascii="Symbol" w:hAnsi="Symbol"/>
      </w:rPr>
    </w:lvl>
    <w:lvl w:ilvl="7" w:tplc="FBEC101E">
      <w:numFmt w:val="bullet"/>
      <w:lvlText w:val="o"/>
      <w:lvlJc w:val="left"/>
      <w:pPr>
        <w:ind w:left="5749" w:firstLine="0"/>
      </w:pPr>
      <w:rPr>
        <w:rFonts w:ascii="Courier New" w:hAnsi="Courier New" w:cs="Courier New"/>
      </w:rPr>
    </w:lvl>
    <w:lvl w:ilvl="8" w:tplc="BCD8286A">
      <w:numFmt w:val="bullet"/>
      <w:lvlText w:val=""/>
      <w:lvlJc w:val="left"/>
      <w:pPr>
        <w:ind w:left="6469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66A21581"/>
    <w:multiLevelType w:val="hybridMultilevel"/>
    <w:tmpl w:val="657A7ED4"/>
    <w:name w:val="Нумерованный список 2"/>
    <w:lvl w:ilvl="0" w:tplc="08B42004"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sz w:val="28"/>
        <w:u w:val="single"/>
      </w:rPr>
    </w:lvl>
    <w:lvl w:ilvl="1" w:tplc="8C6696D8">
      <w:numFmt w:val="bullet"/>
      <w:lvlText w:val="o"/>
      <w:lvlJc w:val="left"/>
      <w:pPr>
        <w:ind w:left="1428" w:firstLine="0"/>
      </w:pPr>
      <w:rPr>
        <w:rFonts w:ascii="Courier New" w:hAnsi="Courier New" w:cs="Courier New"/>
      </w:rPr>
    </w:lvl>
    <w:lvl w:ilvl="2" w:tplc="57420894">
      <w:numFmt w:val="bullet"/>
      <w:lvlText w:val=""/>
      <w:lvlJc w:val="left"/>
      <w:pPr>
        <w:ind w:left="2148" w:firstLine="0"/>
      </w:pPr>
      <w:rPr>
        <w:rFonts w:ascii="Wingdings" w:eastAsia="Wingdings" w:hAnsi="Wingdings" w:cs="Wingdings"/>
      </w:rPr>
    </w:lvl>
    <w:lvl w:ilvl="3" w:tplc="74CE6930">
      <w:numFmt w:val="bullet"/>
      <w:lvlText w:val=""/>
      <w:lvlJc w:val="left"/>
      <w:pPr>
        <w:ind w:left="2868" w:firstLine="0"/>
      </w:pPr>
      <w:rPr>
        <w:rFonts w:ascii="Symbol" w:hAnsi="Symbol"/>
      </w:rPr>
    </w:lvl>
    <w:lvl w:ilvl="4" w:tplc="CAD28A56">
      <w:numFmt w:val="bullet"/>
      <w:lvlText w:val="o"/>
      <w:lvlJc w:val="left"/>
      <w:pPr>
        <w:ind w:left="3588" w:firstLine="0"/>
      </w:pPr>
      <w:rPr>
        <w:rFonts w:ascii="Courier New" w:hAnsi="Courier New" w:cs="Courier New"/>
      </w:rPr>
    </w:lvl>
    <w:lvl w:ilvl="5" w:tplc="AD423564">
      <w:numFmt w:val="bullet"/>
      <w:lvlText w:val=""/>
      <w:lvlJc w:val="left"/>
      <w:pPr>
        <w:ind w:left="4308" w:firstLine="0"/>
      </w:pPr>
      <w:rPr>
        <w:rFonts w:ascii="Wingdings" w:eastAsia="Wingdings" w:hAnsi="Wingdings" w:cs="Wingdings"/>
      </w:rPr>
    </w:lvl>
    <w:lvl w:ilvl="6" w:tplc="90D6FDB8">
      <w:numFmt w:val="bullet"/>
      <w:lvlText w:val=""/>
      <w:lvlJc w:val="left"/>
      <w:pPr>
        <w:ind w:left="5028" w:firstLine="0"/>
      </w:pPr>
      <w:rPr>
        <w:rFonts w:ascii="Symbol" w:hAnsi="Symbol"/>
      </w:rPr>
    </w:lvl>
    <w:lvl w:ilvl="7" w:tplc="1F3EEDD4">
      <w:numFmt w:val="bullet"/>
      <w:lvlText w:val="o"/>
      <w:lvlJc w:val="left"/>
      <w:pPr>
        <w:ind w:left="5748" w:firstLine="0"/>
      </w:pPr>
      <w:rPr>
        <w:rFonts w:ascii="Courier New" w:hAnsi="Courier New" w:cs="Courier New"/>
      </w:rPr>
    </w:lvl>
    <w:lvl w:ilvl="8" w:tplc="865C0AD2">
      <w:numFmt w:val="bullet"/>
      <w:lvlText w:val=""/>
      <w:lvlJc w:val="left"/>
      <w:pPr>
        <w:ind w:left="6468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1B00F2"/>
    <w:rsid w:val="00034C8D"/>
    <w:rsid w:val="000A01F2"/>
    <w:rsid w:val="000A0707"/>
    <w:rsid w:val="000B42F6"/>
    <w:rsid w:val="000C5277"/>
    <w:rsid w:val="000D723D"/>
    <w:rsid w:val="000E7099"/>
    <w:rsid w:val="001173AA"/>
    <w:rsid w:val="001233F6"/>
    <w:rsid w:val="001419A8"/>
    <w:rsid w:val="00144E2D"/>
    <w:rsid w:val="001825BD"/>
    <w:rsid w:val="00195594"/>
    <w:rsid w:val="001B00F2"/>
    <w:rsid w:val="001B38E3"/>
    <w:rsid w:val="001B55F9"/>
    <w:rsid w:val="001D4E12"/>
    <w:rsid w:val="001E4A71"/>
    <w:rsid w:val="001F2FAA"/>
    <w:rsid w:val="00252B81"/>
    <w:rsid w:val="00266C27"/>
    <w:rsid w:val="002B25F8"/>
    <w:rsid w:val="00305E8B"/>
    <w:rsid w:val="003B404E"/>
    <w:rsid w:val="003D0DD0"/>
    <w:rsid w:val="003E400E"/>
    <w:rsid w:val="003F09D9"/>
    <w:rsid w:val="00404E2B"/>
    <w:rsid w:val="00457C51"/>
    <w:rsid w:val="004830C1"/>
    <w:rsid w:val="004B649E"/>
    <w:rsid w:val="00516634"/>
    <w:rsid w:val="005316BB"/>
    <w:rsid w:val="00557F79"/>
    <w:rsid w:val="00576CCB"/>
    <w:rsid w:val="005779EF"/>
    <w:rsid w:val="005911A3"/>
    <w:rsid w:val="005913B9"/>
    <w:rsid w:val="005C3748"/>
    <w:rsid w:val="005F1BBB"/>
    <w:rsid w:val="00600D12"/>
    <w:rsid w:val="00634CD5"/>
    <w:rsid w:val="00644285"/>
    <w:rsid w:val="00660976"/>
    <w:rsid w:val="00684F70"/>
    <w:rsid w:val="00694AD2"/>
    <w:rsid w:val="006B35A3"/>
    <w:rsid w:val="006D4C99"/>
    <w:rsid w:val="006F710E"/>
    <w:rsid w:val="00700584"/>
    <w:rsid w:val="00704E0B"/>
    <w:rsid w:val="007169D5"/>
    <w:rsid w:val="0072217B"/>
    <w:rsid w:val="00746842"/>
    <w:rsid w:val="00780432"/>
    <w:rsid w:val="007B40C3"/>
    <w:rsid w:val="007C1C69"/>
    <w:rsid w:val="007E1B0B"/>
    <w:rsid w:val="007E5B80"/>
    <w:rsid w:val="00827E6B"/>
    <w:rsid w:val="008573A5"/>
    <w:rsid w:val="008735B9"/>
    <w:rsid w:val="0089301B"/>
    <w:rsid w:val="0094231D"/>
    <w:rsid w:val="00991922"/>
    <w:rsid w:val="009A3674"/>
    <w:rsid w:val="009A5248"/>
    <w:rsid w:val="009B62C8"/>
    <w:rsid w:val="00A033C7"/>
    <w:rsid w:val="00A403D4"/>
    <w:rsid w:val="00AC4577"/>
    <w:rsid w:val="00AD724A"/>
    <w:rsid w:val="00B25341"/>
    <w:rsid w:val="00B517A5"/>
    <w:rsid w:val="00B52251"/>
    <w:rsid w:val="00BB5487"/>
    <w:rsid w:val="00BB7F2C"/>
    <w:rsid w:val="00BF0AEB"/>
    <w:rsid w:val="00C16780"/>
    <w:rsid w:val="00C61B1E"/>
    <w:rsid w:val="00C90BDF"/>
    <w:rsid w:val="00CA624E"/>
    <w:rsid w:val="00D43597"/>
    <w:rsid w:val="00D443B9"/>
    <w:rsid w:val="00D823CF"/>
    <w:rsid w:val="00DA5F3D"/>
    <w:rsid w:val="00DD33B0"/>
    <w:rsid w:val="00DD6CC0"/>
    <w:rsid w:val="00E23592"/>
    <w:rsid w:val="00E6575E"/>
    <w:rsid w:val="00E71A2E"/>
    <w:rsid w:val="00E95C39"/>
    <w:rsid w:val="00EF22FC"/>
    <w:rsid w:val="00EF2350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6D46"/>
  <w15:docId w15:val="{0FB822CC-E023-4472-BC99-C2E57E88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F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00F2"/>
    <w:pPr>
      <w:ind w:left="720"/>
      <w:contextualSpacing/>
    </w:pPr>
  </w:style>
  <w:style w:type="paragraph" w:customStyle="1" w:styleId="2">
    <w:name w:val="Обычный2"/>
    <w:qFormat/>
    <w:rsid w:val="001B00F2"/>
    <w:pPr>
      <w:spacing w:after="0"/>
    </w:pPr>
  </w:style>
  <w:style w:type="character" w:customStyle="1" w:styleId="tm61">
    <w:name w:val="tm61"/>
    <w:basedOn w:val="a0"/>
    <w:rsid w:val="001B00F2"/>
    <w:rPr>
      <w:sz w:val="28"/>
      <w:szCs w:val="28"/>
    </w:rPr>
  </w:style>
  <w:style w:type="character" w:customStyle="1" w:styleId="tm71">
    <w:name w:val="tm71"/>
    <w:basedOn w:val="a0"/>
    <w:rsid w:val="001B00F2"/>
    <w:rPr>
      <w:sz w:val="28"/>
      <w:szCs w:val="28"/>
    </w:rPr>
  </w:style>
  <w:style w:type="character" w:customStyle="1" w:styleId="tm81">
    <w:name w:val="tm81"/>
    <w:basedOn w:val="a0"/>
    <w:rsid w:val="001B00F2"/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1B00F2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9A524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144E2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144E2D"/>
    <w:pPr>
      <w:widowControl w:val="0"/>
      <w:shd w:val="clear" w:color="auto" w:fill="FFFFFF"/>
      <w:spacing w:after="300" w:line="317" w:lineRule="exact"/>
      <w:jc w:val="both"/>
    </w:pPr>
    <w:rPr>
      <w:rFonts w:ascii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D0F85-0A55-4811-A0DF-551E7D48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ПОЛИСКАЛІНА Людмила Володимирівна</cp:lastModifiedBy>
  <cp:revision>153</cp:revision>
  <cp:lastPrinted>2025-01-30T14:29:00Z</cp:lastPrinted>
  <dcterms:created xsi:type="dcterms:W3CDTF">2024-12-18T08:59:00Z</dcterms:created>
  <dcterms:modified xsi:type="dcterms:W3CDTF">2026-01-30T09:13:00Z</dcterms:modified>
</cp:coreProperties>
</file>