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7E" w:rsidRPr="00F958DC" w:rsidRDefault="00E34A7E" w:rsidP="00F958DC">
      <w:pPr>
        <w:pStyle w:val="a6"/>
        <w:jc w:val="right"/>
        <w:rPr>
          <w:rFonts w:ascii="Times New Roman" w:hAnsi="Times New Roman"/>
        </w:rPr>
      </w:pPr>
      <w:r w:rsidRPr="00F958DC">
        <w:rPr>
          <w:rFonts w:ascii="Times New Roman" w:hAnsi="Times New Roman"/>
        </w:rPr>
        <w:t>Проєкт</w:t>
      </w:r>
    </w:p>
    <w:p w:rsidR="00E34A7E" w:rsidRPr="00F958DC" w:rsidRDefault="00E34A7E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958DC" w:rsidRDefault="00E34A7E" w:rsidP="00F958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8DC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bookmarkStart w:id="0" w:name="_Hlk131497807"/>
      <w:r w:rsidRPr="00F958DC">
        <w:rPr>
          <w:rFonts w:ascii="Times New Roman" w:hAnsi="Times New Roman"/>
          <w:b/>
          <w:sz w:val="28"/>
          <w:szCs w:val="28"/>
        </w:rPr>
        <w:t xml:space="preserve">плану заходів щодо </w:t>
      </w:r>
      <w:r w:rsidR="00F958DC">
        <w:rPr>
          <w:rFonts w:ascii="Times New Roman" w:hAnsi="Times New Roman"/>
          <w:b/>
          <w:sz w:val="28"/>
          <w:szCs w:val="28"/>
        </w:rPr>
        <w:t>реалізації у Вінницькій області</w:t>
      </w:r>
    </w:p>
    <w:p w:rsidR="00F958DC" w:rsidRDefault="00E34A7E" w:rsidP="00F958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8DC">
        <w:rPr>
          <w:rFonts w:ascii="Times New Roman" w:hAnsi="Times New Roman"/>
          <w:b/>
          <w:sz w:val="28"/>
          <w:szCs w:val="28"/>
        </w:rPr>
        <w:t>до 2024 року Національ</w:t>
      </w:r>
      <w:r w:rsidR="00F958DC">
        <w:rPr>
          <w:rFonts w:ascii="Times New Roman" w:hAnsi="Times New Roman"/>
          <w:b/>
          <w:sz w:val="28"/>
          <w:szCs w:val="28"/>
        </w:rPr>
        <w:t>ної стратегії сприяння розвитку</w:t>
      </w:r>
    </w:p>
    <w:p w:rsidR="00E34A7E" w:rsidRPr="00F958DC" w:rsidRDefault="00E34A7E" w:rsidP="00F958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8DC">
        <w:rPr>
          <w:rFonts w:ascii="Times New Roman" w:hAnsi="Times New Roman"/>
          <w:b/>
          <w:sz w:val="28"/>
          <w:szCs w:val="28"/>
        </w:rPr>
        <w:t>громадянського суспільства в Україні на 2021-2026 роки</w:t>
      </w:r>
    </w:p>
    <w:bookmarkEnd w:id="0"/>
    <w:p w:rsidR="00E34A7E" w:rsidRPr="00F958DC" w:rsidRDefault="00E34A7E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58DC">
        <w:rPr>
          <w:rFonts w:ascii="Times New Roman" w:hAnsi="Times New Roman"/>
          <w:sz w:val="28"/>
          <w:szCs w:val="28"/>
        </w:rPr>
        <w:t xml:space="preserve">Відповідно до Указу Президента України від 26 лютого 2016 року </w:t>
      </w:r>
      <w:r w:rsidR="00F958DC">
        <w:rPr>
          <w:rFonts w:ascii="Times New Roman" w:hAnsi="Times New Roman"/>
          <w:sz w:val="28"/>
          <w:szCs w:val="28"/>
        </w:rPr>
        <w:t xml:space="preserve">          </w:t>
      </w:r>
      <w:r w:rsidRPr="00F958DC">
        <w:rPr>
          <w:rFonts w:ascii="Times New Roman" w:hAnsi="Times New Roman"/>
          <w:sz w:val="28"/>
          <w:szCs w:val="28"/>
        </w:rPr>
        <w:t xml:space="preserve">№ 68/2016 «Про сприяння розвитку громадянського суспільства в Україні», на виконання розпорядження Кабінету Міністрів України від 14 лютого 2023 року № 160-р «Про затвердження плану заходів до 2024 року щодо реалізації Національної стратегії сприяння розвитку громадянського суспільства в Україні на 2021-2026 роки» з метою </w:t>
      </w:r>
      <w:r w:rsidR="00F958DC">
        <w:rPr>
          <w:rFonts w:ascii="Times New Roman" w:hAnsi="Times New Roman"/>
          <w:sz w:val="28"/>
          <w:szCs w:val="28"/>
        </w:rPr>
        <w:t>з</w:t>
      </w:r>
      <w:r w:rsidR="00F958DC" w:rsidRPr="00F958DC">
        <w:rPr>
          <w:rFonts w:ascii="Times New Roman" w:hAnsi="Times New Roman"/>
          <w:sz w:val="28"/>
          <w:szCs w:val="28"/>
        </w:rPr>
        <w:t>абезпечення ефективних процедур громадської участі у формуванні та реалізації державної політики на регіональному рівні, вирішенні питань місцевого значення</w:t>
      </w:r>
      <w:r w:rsidR="00F73468">
        <w:rPr>
          <w:rFonts w:ascii="Times New Roman" w:hAnsi="Times New Roman"/>
          <w:sz w:val="28"/>
          <w:szCs w:val="28"/>
        </w:rPr>
        <w:t>,</w:t>
      </w: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58DC">
        <w:rPr>
          <w:rFonts w:ascii="Times New Roman" w:hAnsi="Times New Roman"/>
          <w:sz w:val="28"/>
          <w:szCs w:val="28"/>
        </w:rPr>
        <w:t>НАКАЗУЮ:</w:t>
      </w: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58DC">
        <w:rPr>
          <w:rFonts w:ascii="Times New Roman" w:hAnsi="Times New Roman"/>
          <w:sz w:val="28"/>
          <w:szCs w:val="28"/>
        </w:rPr>
        <w:t xml:space="preserve">1. Затвердити </w:t>
      </w:r>
      <w:bookmarkStart w:id="1" w:name="_Hlk131498328"/>
      <w:r w:rsidRPr="00F958DC">
        <w:rPr>
          <w:rFonts w:ascii="Times New Roman" w:hAnsi="Times New Roman"/>
          <w:sz w:val="28"/>
          <w:szCs w:val="28"/>
        </w:rPr>
        <w:t xml:space="preserve">план заходів </w:t>
      </w:r>
      <w:bookmarkStart w:id="2" w:name="_Hlk131498341"/>
      <w:r w:rsidRPr="00F958DC">
        <w:rPr>
          <w:rFonts w:ascii="Times New Roman" w:hAnsi="Times New Roman"/>
          <w:sz w:val="28"/>
          <w:szCs w:val="28"/>
        </w:rPr>
        <w:t xml:space="preserve">щодо реалізації у Вінницькій області до </w:t>
      </w:r>
      <w:r w:rsidR="009E7E2C">
        <w:rPr>
          <w:rFonts w:ascii="Times New Roman" w:hAnsi="Times New Roman"/>
          <w:sz w:val="28"/>
          <w:szCs w:val="28"/>
        </w:rPr>
        <w:t xml:space="preserve">    </w:t>
      </w:r>
      <w:r w:rsidRPr="00F958DC">
        <w:rPr>
          <w:rFonts w:ascii="Times New Roman" w:hAnsi="Times New Roman"/>
          <w:sz w:val="28"/>
          <w:szCs w:val="28"/>
        </w:rPr>
        <w:t>2024 року Національної стратегії сприяння розвитку громадянського суспільства в Україні на 2021-2026 роки.</w:t>
      </w:r>
    </w:p>
    <w:bookmarkEnd w:id="1"/>
    <w:bookmarkEnd w:id="2"/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7E" w:rsidRPr="00F73468" w:rsidRDefault="00E34A7E" w:rsidP="009E7E2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73468">
        <w:rPr>
          <w:rFonts w:ascii="Times New Roman" w:hAnsi="Times New Roman"/>
          <w:sz w:val="28"/>
          <w:szCs w:val="28"/>
        </w:rPr>
        <w:t xml:space="preserve">2. </w:t>
      </w:r>
      <w:r w:rsidR="00184913" w:rsidRPr="00F73468">
        <w:rPr>
          <w:rFonts w:ascii="Times New Roman" w:hAnsi="Times New Roman"/>
          <w:sz w:val="28"/>
          <w:szCs w:val="28"/>
        </w:rPr>
        <w:t>Районним військовим адміністраціям</w:t>
      </w:r>
      <w:r w:rsidRPr="00F73468">
        <w:rPr>
          <w:rFonts w:ascii="Times New Roman" w:hAnsi="Times New Roman"/>
          <w:sz w:val="28"/>
          <w:szCs w:val="28"/>
        </w:rPr>
        <w:t>,</w:t>
      </w:r>
      <w:r w:rsidR="00B43C9F">
        <w:rPr>
          <w:rFonts w:ascii="Times New Roman" w:hAnsi="Times New Roman"/>
          <w:sz w:val="28"/>
          <w:szCs w:val="28"/>
        </w:rPr>
        <w:t xml:space="preserve"> структурним підрозділам обласної військової ад</w:t>
      </w:r>
      <w:r w:rsidR="008133CA">
        <w:rPr>
          <w:rFonts w:ascii="Times New Roman" w:hAnsi="Times New Roman"/>
          <w:sz w:val="28"/>
          <w:szCs w:val="28"/>
        </w:rPr>
        <w:t xml:space="preserve">міністрації </w:t>
      </w:r>
      <w:r w:rsidRPr="00F73468">
        <w:rPr>
          <w:rFonts w:ascii="Times New Roman" w:hAnsi="Times New Roman"/>
          <w:sz w:val="28"/>
          <w:szCs w:val="28"/>
        </w:rPr>
        <w:t xml:space="preserve">забезпечити виконання </w:t>
      </w:r>
      <w:bookmarkStart w:id="3" w:name="_Hlk131498311"/>
      <w:r w:rsidR="001E1F46" w:rsidRPr="00F73468">
        <w:rPr>
          <w:rFonts w:ascii="Times New Roman" w:hAnsi="Times New Roman"/>
          <w:sz w:val="28"/>
          <w:szCs w:val="28"/>
        </w:rPr>
        <w:t>плану заходів щодо реалізації у Вінницькій області до 2024 року Національної стратегії сприяння розвитку громадянського суспільства в Україні на 2021-2026 роки</w:t>
      </w:r>
      <w:bookmarkEnd w:id="3"/>
      <w:r w:rsidR="00F73468" w:rsidRPr="00F73468">
        <w:rPr>
          <w:rFonts w:ascii="Times New Roman" w:hAnsi="Times New Roman"/>
          <w:sz w:val="28"/>
          <w:szCs w:val="28"/>
        </w:rPr>
        <w:t xml:space="preserve"> </w:t>
      </w:r>
      <w:r w:rsidRPr="00F73468">
        <w:rPr>
          <w:rFonts w:ascii="Times New Roman" w:hAnsi="Times New Roman"/>
          <w:sz w:val="28"/>
          <w:szCs w:val="28"/>
        </w:rPr>
        <w:t>та затвердити відповідні місцеві плани заходів.</w:t>
      </w:r>
    </w:p>
    <w:p w:rsidR="001E1F46" w:rsidRPr="00F958DC" w:rsidRDefault="001E1F46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58DC">
        <w:rPr>
          <w:rFonts w:ascii="Times New Roman" w:hAnsi="Times New Roman"/>
          <w:sz w:val="28"/>
          <w:szCs w:val="28"/>
        </w:rPr>
        <w:t xml:space="preserve">3. Координацію роботи щодо виконання цього </w:t>
      </w:r>
      <w:r w:rsidR="001E1F46" w:rsidRPr="00F958DC">
        <w:rPr>
          <w:rFonts w:ascii="Times New Roman" w:hAnsi="Times New Roman"/>
          <w:sz w:val="28"/>
          <w:szCs w:val="28"/>
        </w:rPr>
        <w:t>наказу</w:t>
      </w:r>
      <w:r w:rsidRPr="00F958DC">
        <w:rPr>
          <w:rFonts w:ascii="Times New Roman" w:hAnsi="Times New Roman"/>
          <w:sz w:val="28"/>
          <w:szCs w:val="28"/>
        </w:rPr>
        <w:t xml:space="preserve"> покласти на Департамент інформаційної діяльності та комунікацій з громадськістю </w:t>
      </w:r>
      <w:r w:rsidR="001E1F46" w:rsidRPr="00F958DC">
        <w:rPr>
          <w:rFonts w:ascii="Times New Roman" w:hAnsi="Times New Roman"/>
          <w:sz w:val="28"/>
          <w:szCs w:val="28"/>
        </w:rPr>
        <w:t>обласної військової адміністрації.</w:t>
      </w: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46" w:rsidRPr="00F958DC" w:rsidRDefault="001E1F46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58DC">
        <w:rPr>
          <w:rFonts w:ascii="Times New Roman" w:hAnsi="Times New Roman"/>
          <w:sz w:val="28"/>
          <w:szCs w:val="28"/>
        </w:rPr>
        <w:t>4. Контроль за виконанням цього наказу покласти на першого заступника Начальника обласної військової адміністрації Наталю Заболотну.</w:t>
      </w: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7E" w:rsidRPr="00F958DC" w:rsidRDefault="00E34A7E" w:rsidP="00F958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7E" w:rsidRPr="009E7E2C" w:rsidRDefault="00E34A7E" w:rsidP="009E7E2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E7E2C">
        <w:rPr>
          <w:rFonts w:ascii="Times New Roman" w:hAnsi="Times New Roman"/>
          <w:b/>
          <w:sz w:val="28"/>
          <w:szCs w:val="28"/>
        </w:rPr>
        <w:t>Начальник обласної</w:t>
      </w:r>
    </w:p>
    <w:p w:rsidR="00E34A7E" w:rsidRPr="009E7E2C" w:rsidRDefault="00E34A7E" w:rsidP="009E7E2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E7E2C">
        <w:rPr>
          <w:rFonts w:ascii="Times New Roman" w:hAnsi="Times New Roman"/>
          <w:b/>
          <w:sz w:val="28"/>
          <w:szCs w:val="28"/>
        </w:rPr>
        <w:t xml:space="preserve">військової адміністрації                   </w:t>
      </w:r>
      <w:r w:rsidR="009E7E2C" w:rsidRPr="009E7E2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E7E2C">
        <w:rPr>
          <w:rFonts w:ascii="Times New Roman" w:hAnsi="Times New Roman"/>
          <w:b/>
          <w:sz w:val="28"/>
          <w:szCs w:val="28"/>
        </w:rPr>
        <w:t xml:space="preserve">     </w:t>
      </w:r>
      <w:r w:rsidR="009E7E2C" w:rsidRPr="009E7E2C">
        <w:rPr>
          <w:rFonts w:ascii="Times New Roman" w:hAnsi="Times New Roman"/>
          <w:b/>
          <w:sz w:val="28"/>
          <w:szCs w:val="28"/>
        </w:rPr>
        <w:t xml:space="preserve">         </w:t>
      </w:r>
      <w:r w:rsidRPr="009E7E2C">
        <w:rPr>
          <w:rFonts w:ascii="Times New Roman" w:hAnsi="Times New Roman"/>
          <w:b/>
          <w:sz w:val="28"/>
          <w:szCs w:val="28"/>
        </w:rPr>
        <w:t xml:space="preserve">               Сергій БОРЗОВ</w:t>
      </w:r>
    </w:p>
    <w:p w:rsidR="00E34A7E" w:rsidRDefault="00E34A7E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E7E2C" w:rsidRDefault="009E7E2C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F958DC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F958DC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F958DC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F958DC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F958DC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F958DC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568E" w:rsidRPr="00F958DC" w:rsidRDefault="007E568E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9E7E2C" w:rsidRDefault="00095B78" w:rsidP="009E7E2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E7E2C"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095B78" w:rsidRPr="009E7E2C" w:rsidRDefault="00095B78" w:rsidP="009E7E2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E7E2C">
        <w:rPr>
          <w:rFonts w:ascii="Times New Roman" w:hAnsi="Times New Roman"/>
          <w:sz w:val="24"/>
          <w:szCs w:val="24"/>
        </w:rPr>
        <w:t>Наказ Начальника</w:t>
      </w:r>
    </w:p>
    <w:p w:rsidR="00095B78" w:rsidRPr="009E7E2C" w:rsidRDefault="00095B78" w:rsidP="009E7E2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E7E2C">
        <w:rPr>
          <w:rFonts w:ascii="Times New Roman" w:hAnsi="Times New Roman"/>
          <w:sz w:val="24"/>
          <w:szCs w:val="24"/>
        </w:rPr>
        <w:t xml:space="preserve">Вінницької обласної військової адміністрації </w:t>
      </w:r>
    </w:p>
    <w:p w:rsidR="00095B78" w:rsidRPr="009E7E2C" w:rsidRDefault="00095B78" w:rsidP="009E7E2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E7E2C">
        <w:rPr>
          <w:rFonts w:ascii="Times New Roman" w:hAnsi="Times New Roman"/>
          <w:sz w:val="24"/>
          <w:szCs w:val="24"/>
        </w:rPr>
        <w:t>«____» __________ 2023 року №</w:t>
      </w:r>
      <w:r w:rsidR="007E5256">
        <w:rPr>
          <w:rFonts w:ascii="Times New Roman" w:hAnsi="Times New Roman"/>
          <w:sz w:val="24"/>
          <w:szCs w:val="24"/>
        </w:rPr>
        <w:t xml:space="preserve"> </w:t>
      </w:r>
      <w:r w:rsidRPr="009E7E2C">
        <w:rPr>
          <w:rFonts w:ascii="Times New Roman" w:hAnsi="Times New Roman"/>
          <w:sz w:val="24"/>
          <w:szCs w:val="24"/>
        </w:rPr>
        <w:t>____</w:t>
      </w:r>
    </w:p>
    <w:p w:rsidR="000611F7" w:rsidRDefault="000611F7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2332" w:rsidRPr="00F958DC" w:rsidRDefault="00552332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B78" w:rsidRPr="009E7E2C" w:rsidRDefault="00095B78" w:rsidP="009E7E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E7E2C">
        <w:rPr>
          <w:rFonts w:ascii="Times New Roman" w:hAnsi="Times New Roman"/>
          <w:b/>
          <w:sz w:val="28"/>
          <w:szCs w:val="28"/>
        </w:rPr>
        <w:t>План заходів щодо реалізації у Вінницькій області до 2024 року Національної стратегії сприяння розвитку громадянського суспільства в Україні на 2021-2026 роки</w:t>
      </w:r>
    </w:p>
    <w:p w:rsidR="00095B78" w:rsidRPr="00F958DC" w:rsidRDefault="00095B78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49"/>
        <w:gridCol w:w="1872"/>
        <w:gridCol w:w="1993"/>
        <w:gridCol w:w="1348"/>
        <w:gridCol w:w="4145"/>
      </w:tblGrid>
      <w:tr w:rsidR="003D5E65" w:rsidRPr="009E7E2C" w:rsidTr="006B60F4">
        <w:trPr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B" w:rsidRPr="009E7E2C" w:rsidRDefault="0067443B" w:rsidP="009E7E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7B31" w:rsidRPr="009E7E2C" w:rsidRDefault="00C67B31" w:rsidP="009E7E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2C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93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D3312A" w:rsidP="009E7E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</w:t>
            </w:r>
            <w:r w:rsidR="00C67B31" w:rsidRPr="009E7E2C">
              <w:rPr>
                <w:rFonts w:ascii="Times New Roman" w:hAnsi="Times New Roman"/>
                <w:b/>
                <w:sz w:val="24"/>
                <w:szCs w:val="24"/>
              </w:rPr>
              <w:t>авдання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D3312A" w:rsidP="009E7E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</w:t>
            </w:r>
            <w:r w:rsidR="00C67B31" w:rsidRPr="009E7E2C"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D3312A" w:rsidP="009E7E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Строк</w:t>
            </w:r>
            <w:r w:rsidR="00C67B31" w:rsidRPr="009E7E2C">
              <w:rPr>
                <w:rFonts w:ascii="Times New Roman" w:hAnsi="Times New Roman"/>
                <w:b/>
                <w:sz w:val="24"/>
                <w:szCs w:val="24"/>
              </w:rPr>
              <w:t xml:space="preserve"> виконання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D3312A" w:rsidP="009E7E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C67B3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</w:t>
            </w:r>
            <w:r w:rsidR="003A6746" w:rsidRPr="009E7E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C67B3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Врегулювання на законодавчому рівні правових гарантій та механізмів реалізації свободи мирних зібрань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7B31" w:rsidRPr="009E7E2C" w:rsidRDefault="00D605C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в</w:t>
            </w:r>
            <w:r w:rsidR="00C67B31" w:rsidRPr="009E7E2C">
              <w:rPr>
                <w:rFonts w:ascii="Times New Roman" w:hAnsi="Times New Roman"/>
                <w:sz w:val="24"/>
                <w:szCs w:val="24"/>
              </w:rPr>
              <w:t>ивчення практики застосування правових гарантій та механізмів реалізації свободи мирних зібрань, проблемних питань у зазначеній сфері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C67B3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C67B3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4" w:name="_Hlk131504761"/>
            <w:bookmarkStart w:id="5" w:name="_Hlk131507353"/>
            <w:r w:rsidRPr="009E7E2C">
              <w:rPr>
                <w:rFonts w:ascii="Times New Roman" w:hAnsi="Times New Roman"/>
                <w:sz w:val="24"/>
                <w:szCs w:val="24"/>
              </w:rPr>
              <w:t>Головне управління Національної поліції у Вінницькій області</w:t>
            </w:r>
            <w:bookmarkStart w:id="6" w:name="_Hlk131500021"/>
            <w:bookmarkEnd w:id="4"/>
            <w:r w:rsidR="00160144">
              <w:rPr>
                <w:rFonts w:ascii="Times New Roman" w:hAnsi="Times New Roman"/>
                <w:sz w:val="24"/>
                <w:szCs w:val="24"/>
              </w:rPr>
              <w:t>,</w:t>
            </w:r>
            <w:r w:rsidR="0097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44">
              <w:rPr>
                <w:rFonts w:ascii="Times New Roman" w:hAnsi="Times New Roman"/>
                <w:sz w:val="24"/>
                <w:szCs w:val="24"/>
              </w:rPr>
              <w:t>Центрально-Західне міжрегіональне</w:t>
            </w:r>
            <w:r w:rsidR="00160144" w:rsidRPr="00160144">
              <w:rPr>
                <w:rFonts w:ascii="Times New Roman" w:hAnsi="Times New Roman"/>
                <w:sz w:val="24"/>
                <w:szCs w:val="24"/>
              </w:rPr>
              <w:t xml:space="preserve"> управління Міністерства юстиції</w:t>
            </w:r>
            <w:r w:rsidR="00160144">
              <w:rPr>
                <w:rFonts w:ascii="Times New Roman" w:hAnsi="Times New Roman"/>
                <w:sz w:val="24"/>
                <w:szCs w:val="24"/>
              </w:rPr>
              <w:t xml:space="preserve"> (м. Хмельницький)</w:t>
            </w:r>
            <w:bookmarkEnd w:id="6"/>
            <w:r w:rsidR="001601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 інформаційної діяльності та комунікацій з громадськістю обласної військової адміністрації</w:t>
            </w:r>
            <w:bookmarkEnd w:id="5"/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Впровадження інструментів діалогу як підходу до вирішення чутливих питань, розв’язання конфліктів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здійснення заходів для підвищення обізнаності членів територіальних громад щодо інструментів діалогу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BE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C36E02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2) проведення тренінгів для представників органів виконавчої влади та органів місцевого самоврядування з ведення діалогу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BE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C36E02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3) проведення оцінки ризиків виникнення конфліктів у територіальних громадах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BE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C36E02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4) проведення заходів із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використанням інструментів діалогу з метою вирішення конфліктів у територіальних громадах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Pr="009E7E2C" w:rsidRDefault="00C36E0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Протягом 2023-2024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BE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Департаменти обласної військової адміністрації: соціальної та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молодіжної політики,</w:t>
            </w:r>
          </w:p>
          <w:p w:rsidR="00C36E02" w:rsidRPr="009E7E2C" w:rsidRDefault="00977FBE" w:rsidP="0097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rHeight w:val="264"/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3A674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3A674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підвищенню рівня залученості громадян до створення та діяльності інститутів громадянського суспільства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B431B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п</w:t>
            </w:r>
            <w:r w:rsidR="003A6746" w:rsidRPr="009E7E2C">
              <w:rPr>
                <w:rFonts w:ascii="Times New Roman" w:hAnsi="Times New Roman"/>
                <w:sz w:val="24"/>
                <w:szCs w:val="24"/>
              </w:rPr>
              <w:t>роведення інформаційних кампаній для популяризації переваг створення інститутів громадянського суспільства та роз’яснення реєстраційних процедур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3A674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B431B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7" w:name="_Hlk131503359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 інформаційної діяльності та комунікацій з громадськістю обласної військової адміністрації</w:t>
            </w:r>
            <w:bookmarkEnd w:id="7"/>
            <w:r w:rsidR="005958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8" w:name="_Hlk131592663"/>
            <w:r w:rsidR="005958C0">
              <w:rPr>
                <w:rFonts w:ascii="Times New Roman" w:hAnsi="Times New Roman"/>
                <w:sz w:val="24"/>
                <w:szCs w:val="24"/>
              </w:rPr>
              <w:t>Громадська рада при обласній державній адміністрації</w:t>
            </w:r>
            <w:bookmarkEnd w:id="8"/>
          </w:p>
        </w:tc>
      </w:tr>
      <w:tr w:rsidR="003D5E65" w:rsidRPr="009E7E2C" w:rsidTr="006B60F4">
        <w:trPr>
          <w:trHeight w:val="636"/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Удосконалення конкурсних процедур з визначення програм (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ів, заходів), розроблених інститутами громадянського суспільства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забезпечення проведення конкурсів з визначення програм (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ів, заходів), розроблених інститутами громадянського суспільства, для виконання (реалізації) яких надається фінансова підтримка, з використанням модуля «Е-конкурси» онлайн-платформи «ВзаємоДія» та забезпечення проведення конкурсів для обмінів молоддю з використанням модуля «Обміни молоддю» онлайн-платформи «ВзаємоДія»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9" w:name="_Hlk131502812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9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0" w:name="_Hlk131501970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10"/>
          </w:p>
        </w:tc>
      </w:tr>
      <w:tr w:rsidR="003D5E65" w:rsidRPr="009E7E2C" w:rsidTr="006B60F4">
        <w:trPr>
          <w:trHeight w:val="141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4861A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5536" w:rsidRPr="009E7E2C">
              <w:rPr>
                <w:rFonts w:ascii="Times New Roman" w:hAnsi="Times New Roman"/>
                <w:sz w:val="24"/>
                <w:szCs w:val="24"/>
              </w:rPr>
              <w:t xml:space="preserve">) підготовка </w:t>
            </w:r>
            <w:r w:rsidR="00075536"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пропозицій щодо розширення переліку інститутів громадянського суспільства, які можуть брати участь у конкурсному відборі з урахуванням результатів опрацювання питання можливості його розширення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075536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Липень-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вересень 2023 року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36" w:rsidRPr="009E7E2C" w:rsidRDefault="00F71FD9" w:rsidP="00F71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B82A13">
              <w:rPr>
                <w:rFonts w:ascii="Times New Roman" w:hAnsi="Times New Roman"/>
                <w:sz w:val="24"/>
                <w:szCs w:val="24"/>
              </w:rPr>
              <w:t>труктурні підрозділи</w:t>
            </w:r>
            <w:r w:rsidR="00075536" w:rsidRPr="009E7E2C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 w:rsidR="006F7DC3">
              <w:rPr>
                <w:rFonts w:ascii="Times New Roman" w:hAnsi="Times New Roman"/>
                <w:sz w:val="24"/>
                <w:szCs w:val="24"/>
              </w:rPr>
              <w:t xml:space="preserve">асної </w:t>
            </w:r>
            <w:r w:rsidR="006F7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військової адміністрації, </w:t>
            </w:r>
            <w:r>
              <w:rPr>
                <w:rFonts w:ascii="Times New Roman" w:hAnsi="Times New Roman"/>
                <w:sz w:val="24"/>
                <w:szCs w:val="24"/>
              </w:rPr>
              <w:t>районні військові адміністрації, Громадська рада при облдержадміністрації</w:t>
            </w:r>
          </w:p>
        </w:tc>
      </w:tr>
      <w:tr w:rsidR="003D5E65" w:rsidRPr="009E7E2C" w:rsidTr="006B60F4">
        <w:trPr>
          <w:trHeight w:val="528"/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7531A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7531A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підвищенню рівня обізнаності інститутів громадянського суспільства щодо участі у конкурсах з метою отримання бюджетної</w:t>
            </w:r>
            <w:r w:rsidR="00603C94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підтримки, формуванню</w:t>
            </w:r>
            <w:r w:rsidR="00603C94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відповідних навичок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603C94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проведення тренінгів для інститутів громадянського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суспільства з питань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підготовки програм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(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ів, заходів) для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участі у конкурсах з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метою отримання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бюджетної підтримки,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роботи з органами, що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здійснюють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казначейське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бюджетних коштів</w:t>
            </w:r>
            <w:r w:rsidR="008C1BFA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тощо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603C94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A" w:rsidRDefault="008C1BFA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1" w:name="_Hlk131503984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фінансів,</w:t>
            </w:r>
          </w:p>
          <w:p w:rsidR="004D6D3B" w:rsidRPr="009E7E2C" w:rsidRDefault="004D6D3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C67B31" w:rsidRPr="009E7E2C" w:rsidRDefault="008C1BFA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11"/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5B7B1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5B7B1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запровадженню додаткових механізмів підтримки інститутів громадянського суспільства на місцевому рівні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AB137D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сприяння запровадженню на місцевому рівні конкурсів програм (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ів, заходів) інститутів громадянського суспільства, що спрямовані на розвиток громадянського суспільства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24307E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5B" w:rsidRDefault="00664CB1" w:rsidP="00664C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трації: </w:t>
            </w:r>
            <w:r w:rsidR="00AF705B"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r w:rsidR="00FA29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B31" w:rsidRPr="009E7E2C" w:rsidRDefault="00664CB1" w:rsidP="00664C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</w:t>
            </w:r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9C54AF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907DB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ів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спрямованих на розвиток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інфраструктури, зокрема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цифрової, для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ефективного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інститутів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громадянського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суспільства, доступу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таких інститутів до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навчання, комунікації,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мережування, обміну</w:t>
            </w:r>
            <w:r w:rsidR="00AA64F9" w:rsidRPr="009E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AA64F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1) реалізація (сприяння реалізації) 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ів із створення ресурсних центрів, хабів, інших інфраструктурних об’єктів для доступу інститутів громадянського суспільства до навчання, комунікації, мережування, обміну ресурсами, взаємодії з органами виконавчої влади та органами місцевого самоврядування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AA64F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2" w:name="_Hlk131503676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12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D" w:rsidRPr="009E7E2C" w:rsidRDefault="00CB3ACD" w:rsidP="00CB3A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3" w:name="_Hlk131593200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</w:t>
            </w:r>
            <w:r>
              <w:rPr>
                <w:rFonts w:ascii="Times New Roman" w:hAnsi="Times New Roman"/>
                <w:sz w:val="24"/>
                <w:szCs w:val="24"/>
              </w:rPr>
              <w:t>трації: соціальної та молодіжної політики,</w:t>
            </w:r>
          </w:p>
          <w:p w:rsidR="00C67B31" w:rsidRPr="009E7E2C" w:rsidRDefault="00CB3ACD" w:rsidP="00CB3A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13"/>
            <w:r w:rsidR="00FA29B1">
              <w:rPr>
                <w:rFonts w:ascii="Times New Roman" w:hAnsi="Times New Roman"/>
                <w:sz w:val="24"/>
                <w:szCs w:val="24"/>
              </w:rPr>
              <w:t>, районні військові адміністрації</w:t>
            </w:r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5F534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5F534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участі інститутів громадянського суспільства у громадському контролі, моніторингу та оцінці якості надання суспільно значущих послуг за рахунок коштів державного та місцевих бюджетів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5F534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проведення заходів, зокрема навчальних, для залучення інститутів громадянського суспільства до моніторингу надання соціальних послуг та оцінки їх якості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1" w:rsidRPr="009E7E2C" w:rsidRDefault="005F534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4" w:name="_Hlk131504203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14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D" w:rsidRPr="009E7E2C" w:rsidRDefault="00CB3ACD" w:rsidP="00CB3A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</w:t>
            </w:r>
            <w:r>
              <w:rPr>
                <w:rFonts w:ascii="Times New Roman" w:hAnsi="Times New Roman"/>
                <w:sz w:val="24"/>
                <w:szCs w:val="24"/>
              </w:rPr>
              <w:t>трації: соціальної та молодіжної політики,</w:t>
            </w:r>
          </w:p>
          <w:p w:rsidR="00C67B31" w:rsidRPr="009E7E2C" w:rsidRDefault="00CB3ACD" w:rsidP="00CB3A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r>
              <w:rPr>
                <w:rFonts w:ascii="Times New Roman" w:hAnsi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</w:tr>
      <w:tr w:rsidR="003D5E65" w:rsidRPr="009E7E2C" w:rsidTr="006B60F4">
        <w:trPr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Створення умов для розвитку соціального підприємництва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розроблення інформаційних матеріалів для органів місцевого самоврядування щодо соціального підприємництва, механізмів підтримки та стимулювання його розвитку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B9698D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5" w:name="_Hlk131593277"/>
            <w:r>
              <w:rPr>
                <w:rFonts w:ascii="Times New Roman" w:hAnsi="Times New Roman"/>
                <w:sz w:val="24"/>
                <w:szCs w:val="24"/>
              </w:rPr>
              <w:t>Протягом</w:t>
            </w:r>
            <w:r w:rsidR="00A7625B" w:rsidRPr="009E7E2C">
              <w:rPr>
                <w:rFonts w:ascii="Times New Roman" w:hAnsi="Times New Roman"/>
                <w:sz w:val="24"/>
                <w:szCs w:val="24"/>
              </w:rPr>
              <w:t xml:space="preserve"> 2023 року</w:t>
            </w:r>
            <w:bookmarkEnd w:id="15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міжнародного співробітництва та регіонального розвитку,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rHeight w:val="2184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2) поширення інформаційних матеріалів для органів місцевого самоврядування щодо соціального підприємництва, механізмів підтримки та стимулювання його розвитку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B9698D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 xml:space="preserve"> 2023 року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міжнародного співробітництва та регіонального розвитку,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rHeight w:val="2184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3) імплементація і моніторинг реалізації механізмів підтримки та стимулювання розвитку соціального підприємництва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6" w:name="_Hlk131504364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міжнародного співробітництва та регіонального розвитку,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16"/>
          </w:p>
        </w:tc>
      </w:tr>
      <w:tr w:rsidR="003D5E65" w:rsidRPr="009E7E2C" w:rsidTr="006B60F4">
        <w:trPr>
          <w:trHeight w:val="2184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4) визначення сприяння розвитку соціального підприємництва у відповідній сфері одним із пріоритетних завдань під час проведення конкурсів програм (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 xml:space="preserve">ів, заходів), розроблених інститутами громадянського суспільства, для виконання (реалізації) яких надається фінансова підтримка, або під час застосування інших форм надання фінансової підтримки 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ам інститутів громадянського суспільства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7" w:name="_Hlk131504862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17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8" w:name="_Hlk131504707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міжнародного співробітництва та регіонального розвитку,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A7625B" w:rsidRPr="009E7E2C" w:rsidRDefault="00A7625B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18"/>
          </w:p>
        </w:tc>
      </w:tr>
      <w:tr w:rsidR="005A6AF1" w:rsidRPr="009E7E2C" w:rsidTr="006B60F4">
        <w:trPr>
          <w:trHeight w:val="3910"/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F1" w:rsidRPr="009E7E2C" w:rsidRDefault="005A6AF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F1" w:rsidRPr="009E7E2C" w:rsidRDefault="005A6AF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Створення умов для підвищення рівня обізнаності громадськості про участь інститутів громадянського суспільства у наданні соціальних та інших суспільно значущих послуг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5A6AF1" w:rsidRPr="009E7E2C" w:rsidRDefault="005A6AF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) сприяння створенню та розповсюдженню відповідно до законодавства соціальної реклами про суспільно корисну діяльність інститутів громадянського суспільства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5A6AF1" w:rsidRPr="009E7E2C" w:rsidRDefault="005A6AF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9" w:name="_Hlk131505083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19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F1" w:rsidRPr="009E7E2C" w:rsidRDefault="005A6AF1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 інформаційної діяльності та комунікацій з громадськістю обласної військової адміністрації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підвищенню рівня обізнаності громадян, представників бізнесу, державних службовців, посадових осіб місцевого самоврядування про роль інститутів громадянського суспільства, дієві механізми міжсекторальної співпраці, можливість отримання державної підтримки інститутами громадянського суспільства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забезпечення організації та проведення інформаційно-комунікаційних кампаній, зокрема розповсюдження інформаційних матеріалів та соціальної реклами з метою підвищення рівня обізнаності громадян, представників бізнесу, державних службовців, посадових осіб місцевого самоврядування про роль інститутів громадянського суспільства, дієві механізми міжсекторальної співпраці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0" w:name="_Hlk131505258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20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1" w:name="_Hlk131505270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 інформаційної діяльності та комунікацій з громадськістю обласної військової адміністрації</w:t>
            </w:r>
            <w:bookmarkEnd w:id="21"/>
          </w:p>
        </w:tc>
      </w:tr>
      <w:tr w:rsidR="00B64C99" w:rsidRPr="009E7E2C" w:rsidTr="005A7A78">
        <w:trPr>
          <w:trHeight w:val="6743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C99" w:rsidRPr="009E7E2C" w:rsidRDefault="00B64C9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C99" w:rsidRPr="009E7E2C" w:rsidRDefault="00B64C9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64C99" w:rsidRPr="009E7E2C" w:rsidRDefault="00B64C9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організація проведення щорічного регіонального форуму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 xml:space="preserve"> громадянського суспільства для обговорення актуальних питань діяльності інститутів громадянського суспільства, міжсекторальної співпраці, стану реалізації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B64C99" w:rsidRPr="009E7E2C" w:rsidRDefault="00B64C9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99" w:rsidRPr="009E7E2C" w:rsidRDefault="00B64C9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 інформаційної діяльності та комунікацій з громадськістю обласної військової адміністрації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0" w:rsidRPr="009E7E2C" w:rsidRDefault="00DF3810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0" w:rsidRPr="009E7E2C" w:rsidRDefault="00DF3810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співпраці між українськими та Міжнародними інститутами громадянського суспільства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F3810" w:rsidRPr="009E7E2C" w:rsidRDefault="00DF3810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1) сприяння реалізації спільних 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ів українських і міжнародних інститутів громадянського суспільства, спрямованих на досягнення цілей сталого розвитку і розвиток громадянського суспільства в Україні, зокрема проведення навчальних, координаційних, інших заходів для налагодження співпраці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F3810" w:rsidRPr="009E7E2C" w:rsidRDefault="00DF3810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1C" w:rsidRPr="009E7E2C" w:rsidRDefault="00C2061C" w:rsidP="00C206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міжнародного співробітництва та регіонального розвитку,</w:t>
            </w:r>
          </w:p>
          <w:p w:rsidR="00C2061C" w:rsidRPr="009E7E2C" w:rsidRDefault="00C2061C" w:rsidP="00C206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DF3810" w:rsidRPr="009E7E2C" w:rsidRDefault="00C2061C" w:rsidP="00C206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r>
              <w:rPr>
                <w:rFonts w:ascii="Times New Roman" w:hAnsi="Times New Roman"/>
                <w:sz w:val="24"/>
                <w:szCs w:val="24"/>
              </w:rPr>
              <w:t>, Громадська рада при обласній державній адміністрації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Підвищення рівня залучення інститутів громадянського суспільства до реалізації 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міжсекторальної співпраці у різних сферах суспільного життя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сприяння залученню інститутів громадянського суспільства до реалізації пріоритетних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міжсекторальних та міжрегіональних програм з міжнародного розвитку та співробітництва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3C" w:rsidRPr="009E7E2C" w:rsidRDefault="00115B3C" w:rsidP="00115B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міжнародного співробітництва та регіонального розвитку,</w:t>
            </w:r>
          </w:p>
          <w:p w:rsidR="007E3727" w:rsidRPr="009E7E2C" w:rsidRDefault="00115B3C" w:rsidP="00115B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6B60F4" w:rsidRPr="009E7E2C" w:rsidTr="006B60F4">
        <w:trPr>
          <w:trHeight w:val="3603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F4" w:rsidRPr="009E7E2C" w:rsidRDefault="006B60F4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F4" w:rsidRPr="009E7E2C" w:rsidRDefault="006B60F4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B60F4" w:rsidRPr="009E7E2C" w:rsidRDefault="006B60F4" w:rsidP="00FA29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) проведення інформацій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кампаній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про можливості та інструменти міжсекторальної співпраці для громадських об’єднань ветеранів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6B60F4" w:rsidRPr="009E7E2C" w:rsidRDefault="006B60F4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F4" w:rsidRPr="009E7E2C" w:rsidRDefault="006B60F4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2" w:name="_Hlk131506342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6B60F4" w:rsidRPr="009E7E2C" w:rsidRDefault="006B60F4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22"/>
            <w:r w:rsidR="00EA7C4A">
              <w:rPr>
                <w:rFonts w:ascii="Times New Roman" w:hAnsi="Times New Roman"/>
                <w:sz w:val="24"/>
                <w:szCs w:val="24"/>
              </w:rPr>
              <w:t>, районні військові адміністрації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Стимулювання розвитку волонтерської діяльності та активного залучення волонтерської допомоги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сприяння запровадженню місцевих цільових програм з розвитку волонтерської діяльності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2" w:rsidRPr="009E7E2C" w:rsidRDefault="009346A2" w:rsidP="009346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7E3727" w:rsidRPr="009E7E2C" w:rsidRDefault="009346A2" w:rsidP="009346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3727" w:rsidRPr="009E7E2C" w:rsidRDefault="007E3727" w:rsidP="00F819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2) проведення інформац</w:t>
            </w:r>
            <w:r w:rsidR="004B403B">
              <w:rPr>
                <w:rFonts w:ascii="Times New Roman" w:hAnsi="Times New Roman"/>
                <w:sz w:val="24"/>
                <w:szCs w:val="24"/>
              </w:rPr>
              <w:t xml:space="preserve">ійних кампаній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щодо кращих волонтерських практик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3" w:name="_Hlk131506967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23"/>
            <w:r w:rsidR="00F8199F">
              <w:rPr>
                <w:rFonts w:ascii="Times New Roman" w:hAnsi="Times New Roman"/>
                <w:sz w:val="24"/>
                <w:szCs w:val="24"/>
              </w:rPr>
              <w:t>, районні військові адміністрації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1" w:rsidRPr="009E7E2C" w:rsidRDefault="0076374E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1" w:rsidRPr="009E7E2C" w:rsidRDefault="00F55DF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професійному розвитку та сталості інститутів громадянського суспільства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0451" w:rsidRPr="009E7E2C" w:rsidRDefault="00F55DF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сприяння проведенню навчальних заходів щодо кращих практик міжсекторальної співпраці, взаємодії між інститутами громадянського суспільства, органами державної влади, органами місцевого самоврядування, суб’єктами підприємницької діяльності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0451" w:rsidRPr="009E7E2C" w:rsidRDefault="00F55DF9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4" w:name="_Hlk131506950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24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84" w:rsidRDefault="00907084" w:rsidP="009070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5" w:name="_Hlk131594317"/>
            <w:r>
              <w:rPr>
                <w:rFonts w:ascii="Times New Roman" w:hAnsi="Times New Roman"/>
                <w:sz w:val="24"/>
                <w:szCs w:val="24"/>
              </w:rPr>
              <w:t>Районні військові адміністрації, д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епартаменти обласної військової адміністрації: міжнародного співробітництва та регіонального розвитку,</w:t>
            </w:r>
          </w:p>
          <w:p w:rsidR="00907084" w:rsidRPr="009E7E2C" w:rsidRDefault="00907084" w:rsidP="009070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DB0451" w:rsidRPr="009E7E2C" w:rsidRDefault="00907084" w:rsidP="009070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25"/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65" w:rsidRPr="007E3727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2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65" w:rsidRPr="007E3727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27">
              <w:rPr>
                <w:rFonts w:ascii="Times New Roman" w:hAnsi="Times New Roman"/>
                <w:sz w:val="24"/>
                <w:szCs w:val="24"/>
              </w:rPr>
              <w:t>Сприяння впровадженню принципів підзвітності, прозорості, публічності та належного врядування в діяльність інститутів громадянського суспільства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1F65" w:rsidRPr="009E7E2C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1) сприяння впровадженню принципів підзвітності, прозорості, публічності та належного врядування в діяльність інститутів громадянського суспільства, які надають послуги за бюджетні кошти, отримують підтримку за бюджетні кошти, заохочення добровільного оприлюднення інформації про їх діяльність, зокрема статутів, звітів про діяльність, фінансових звітів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11F65" w:rsidRPr="009E7E2C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6" w:name="_Hlk131507055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26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5" w:rsidRPr="009E7E2C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7" w:name="_Hlk131507555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111F65" w:rsidRPr="009E7E2C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  <w:bookmarkEnd w:id="27"/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5" w:rsidRPr="007E3727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5" w:rsidRPr="007E3727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1F65" w:rsidRPr="009E7E2C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2) сприяння реалізації </w:t>
            </w:r>
            <w:r w:rsidR="00430B40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 xml:space="preserve">ів, ініціатив інститутів громадянського суспільства, міжнародних організацій, спрямованих на розроблення стандартів, критеріїв, кодексів підзвітності, прозорості, публічності та належного врядування інститутів громадянського суспільства, а також на підвищення рівня обізнаності громадян, органів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державної влади, органів місцевого самоврядування, суб’єктів підприємницької діяльності з такими стандартами, критеріями, кодексами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11F65" w:rsidRPr="009E7E2C" w:rsidRDefault="00111F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9" w:rsidRPr="009E7E2C" w:rsidRDefault="003808E9" w:rsidP="003808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 xml:space="preserve">епартаменти обласної військової адміністрації: </w:t>
            </w:r>
            <w:r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111F65" w:rsidRPr="009E7E2C" w:rsidRDefault="003808E9" w:rsidP="003808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Підтримка міжсекторальної співпраці, спрямованої на запобігання та протидію шахрайству та іншим зловживанням у сфері благодійної та волонтерської діяльності, надання послуг та пільг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3727" w:rsidRPr="009E7E2C" w:rsidRDefault="007E3727" w:rsidP="003D5E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D5E65">
              <w:rPr>
                <w:rFonts w:ascii="Times New Roman" w:hAnsi="Times New Roman"/>
                <w:sz w:val="24"/>
                <w:szCs w:val="24"/>
              </w:rPr>
              <w:t xml:space="preserve">оприлюднення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рекомендацій стосовно запобігання виникненню передумов для вчинення правопорушень у сфері благодійної та волонтерської діяльності, надання послуг та пільг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3D5E65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28" w:name="_Hlk131594175"/>
            <w:r w:rsidRPr="009E7E2C">
              <w:rPr>
                <w:rFonts w:ascii="Times New Roman" w:hAnsi="Times New Roman"/>
                <w:sz w:val="24"/>
                <w:szCs w:val="24"/>
              </w:rPr>
              <w:t xml:space="preserve">Головне управління Національної поліції у Вінницькій області, </w:t>
            </w:r>
            <w:bookmarkStart w:id="29" w:name="_Hlk131594235"/>
            <w:r w:rsidR="003D5E65">
              <w:rPr>
                <w:rFonts w:ascii="Times New Roman" w:hAnsi="Times New Roman"/>
                <w:sz w:val="24"/>
                <w:szCs w:val="24"/>
              </w:rPr>
              <w:t xml:space="preserve">районні військові адміністрації, </w:t>
            </w:r>
            <w:bookmarkEnd w:id="29"/>
            <w:r w:rsidRPr="009E7E2C">
              <w:rPr>
                <w:rFonts w:ascii="Times New Roman" w:hAnsi="Times New Roman"/>
                <w:sz w:val="24"/>
                <w:szCs w:val="24"/>
              </w:rPr>
              <w:t>Департамент інформаційної діяльності та комунікацій з громадськістю обласної військової адміністрації</w:t>
            </w:r>
            <w:bookmarkEnd w:id="28"/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3727" w:rsidRPr="009E7E2C" w:rsidRDefault="007E3727" w:rsidP="003D5E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2) проведення роз’яснювальної роботи серед населення, спрямованої на запобігання та протидію шахрайству, іншим зловживанням у сфері благодійної діяльності, волонтерської діяльності, надання послуг та пільг у цій сфері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30" w:name="_Hlk131507699"/>
            <w:r w:rsidRPr="009E7E2C">
              <w:rPr>
                <w:rFonts w:ascii="Times New Roman" w:hAnsi="Times New Roman"/>
                <w:sz w:val="24"/>
                <w:szCs w:val="24"/>
              </w:rPr>
              <w:t>Протягом 2023-2024 років</w:t>
            </w:r>
            <w:bookmarkEnd w:id="30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Головне управління Національної поліції у Вінницькій області, </w:t>
            </w:r>
            <w:r w:rsidR="003D5E65">
              <w:rPr>
                <w:rFonts w:ascii="Times New Roman" w:hAnsi="Times New Roman"/>
                <w:sz w:val="24"/>
                <w:szCs w:val="24"/>
              </w:rPr>
              <w:t xml:space="preserve">районні військові адміністрації,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t>департаменти обласної військової адміністрації: соціальної та молодіжної політики,</w:t>
            </w:r>
          </w:p>
          <w:p w:rsidR="007E3727" w:rsidRPr="009E7E2C" w:rsidRDefault="007E3727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  <w:tr w:rsidR="003D5E65" w:rsidRPr="009E7E2C" w:rsidTr="006B60F4">
        <w:trPr>
          <w:trHeight w:val="692"/>
          <w:tblCellSpacing w:w="22" w:type="dxa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E" w:rsidRPr="009E7E2C" w:rsidRDefault="00EA475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BE" w:rsidRPr="009E7E2C" w:rsidRDefault="00EA475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Сприяння підвищенню рівня обізнаності громадян та суб’єктів підприємницької діяльності щодо можливостей підтримки інститутів громадянського суспільства</w:t>
            </w:r>
          </w:p>
        </w:tc>
        <w:tc>
          <w:tcPr>
            <w:tcW w:w="99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18BE" w:rsidRPr="009E7E2C" w:rsidRDefault="00EA4752" w:rsidP="008176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 xml:space="preserve">1) здійснення заходів, спрямованих на підвищення рівня обізнаності громадян та суб’єктів підприємницької діяльності щодо можливостей підтримки інститутів громадянського </w:t>
            </w: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суспільства</w:t>
            </w:r>
          </w:p>
        </w:tc>
        <w:tc>
          <w:tcPr>
            <w:tcW w:w="6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918BE" w:rsidRPr="009E7E2C" w:rsidRDefault="00EA4752" w:rsidP="009E7E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lastRenderedPageBreak/>
              <w:t>Протягом 2023-2024 років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4" w:rsidRDefault="009F66B9" w:rsidP="008176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7654" w:rsidRPr="009E7E2C">
              <w:rPr>
                <w:rFonts w:ascii="Times New Roman" w:hAnsi="Times New Roman"/>
                <w:sz w:val="24"/>
                <w:szCs w:val="24"/>
              </w:rPr>
              <w:t>епартаменти обласної військової адміністрації: міжнародного співробітництва та регіонального розвитку,</w:t>
            </w:r>
          </w:p>
          <w:p w:rsidR="00817654" w:rsidRPr="009E7E2C" w:rsidRDefault="00817654" w:rsidP="008176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соціальної та молодіжної політики,</w:t>
            </w:r>
          </w:p>
          <w:p w:rsidR="00F918BE" w:rsidRPr="009E7E2C" w:rsidRDefault="00817654" w:rsidP="008176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7E2C">
              <w:rPr>
                <w:rFonts w:ascii="Times New Roman" w:hAnsi="Times New Roman"/>
                <w:sz w:val="24"/>
                <w:szCs w:val="24"/>
              </w:rPr>
              <w:t>інформаційної діяльності та комунікацій з громадськістю</w:t>
            </w:r>
          </w:p>
        </w:tc>
      </w:tr>
    </w:tbl>
    <w:p w:rsidR="005D36CE" w:rsidRPr="00F958DC" w:rsidRDefault="005D36CE" w:rsidP="00F958D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61B99" w:rsidRPr="00F958DC" w:rsidRDefault="00561B99" w:rsidP="009E7E2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958DC">
        <w:rPr>
          <w:rFonts w:ascii="Times New Roman" w:hAnsi="Times New Roman"/>
          <w:sz w:val="28"/>
          <w:szCs w:val="28"/>
        </w:rPr>
        <w:t>____________________________________</w:t>
      </w:r>
    </w:p>
    <w:sectPr w:rsidR="00561B99" w:rsidRPr="00F958DC" w:rsidSect="00B33F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D36CE"/>
    <w:rsid w:val="00011322"/>
    <w:rsid w:val="000144DF"/>
    <w:rsid w:val="0005320D"/>
    <w:rsid w:val="000570E7"/>
    <w:rsid w:val="000611F7"/>
    <w:rsid w:val="00075536"/>
    <w:rsid w:val="00075D86"/>
    <w:rsid w:val="00095B78"/>
    <w:rsid w:val="000B7D55"/>
    <w:rsid w:val="000D56FE"/>
    <w:rsid w:val="00111F65"/>
    <w:rsid w:val="00115B3C"/>
    <w:rsid w:val="00155948"/>
    <w:rsid w:val="00160144"/>
    <w:rsid w:val="00181AC9"/>
    <w:rsid w:val="00184913"/>
    <w:rsid w:val="001907D0"/>
    <w:rsid w:val="001C0183"/>
    <w:rsid w:val="001C2F42"/>
    <w:rsid w:val="001E1F46"/>
    <w:rsid w:val="001E5D78"/>
    <w:rsid w:val="001F6375"/>
    <w:rsid w:val="00216658"/>
    <w:rsid w:val="00224964"/>
    <w:rsid w:val="00225D69"/>
    <w:rsid w:val="00241ACE"/>
    <w:rsid w:val="0024307E"/>
    <w:rsid w:val="0025341D"/>
    <w:rsid w:val="002565F5"/>
    <w:rsid w:val="00277683"/>
    <w:rsid w:val="002E6F46"/>
    <w:rsid w:val="003035B0"/>
    <w:rsid w:val="00333B0F"/>
    <w:rsid w:val="00337448"/>
    <w:rsid w:val="00366149"/>
    <w:rsid w:val="00367912"/>
    <w:rsid w:val="00370BB9"/>
    <w:rsid w:val="00371C4F"/>
    <w:rsid w:val="003808E9"/>
    <w:rsid w:val="00380E30"/>
    <w:rsid w:val="00391FA7"/>
    <w:rsid w:val="003A2ACD"/>
    <w:rsid w:val="003A5974"/>
    <w:rsid w:val="003A6746"/>
    <w:rsid w:val="003C0CE3"/>
    <w:rsid w:val="003D3B90"/>
    <w:rsid w:val="003D5E65"/>
    <w:rsid w:val="003F1750"/>
    <w:rsid w:val="003F44FF"/>
    <w:rsid w:val="004079C9"/>
    <w:rsid w:val="004102C2"/>
    <w:rsid w:val="00410C9A"/>
    <w:rsid w:val="00430B40"/>
    <w:rsid w:val="00436189"/>
    <w:rsid w:val="00446D68"/>
    <w:rsid w:val="004539EF"/>
    <w:rsid w:val="004861A2"/>
    <w:rsid w:val="004A51D4"/>
    <w:rsid w:val="004B403B"/>
    <w:rsid w:val="004C5176"/>
    <w:rsid w:val="004D6D3B"/>
    <w:rsid w:val="004F594B"/>
    <w:rsid w:val="00503E30"/>
    <w:rsid w:val="00512758"/>
    <w:rsid w:val="00534DF7"/>
    <w:rsid w:val="00552332"/>
    <w:rsid w:val="00556F65"/>
    <w:rsid w:val="00560B4A"/>
    <w:rsid w:val="00561B99"/>
    <w:rsid w:val="0057333B"/>
    <w:rsid w:val="00576C36"/>
    <w:rsid w:val="005958C0"/>
    <w:rsid w:val="005A6AF1"/>
    <w:rsid w:val="005A6ECC"/>
    <w:rsid w:val="005A7A78"/>
    <w:rsid w:val="005B1A5D"/>
    <w:rsid w:val="005B7B1B"/>
    <w:rsid w:val="005D36CE"/>
    <w:rsid w:val="005D622F"/>
    <w:rsid w:val="005F5342"/>
    <w:rsid w:val="006015A1"/>
    <w:rsid w:val="00603C94"/>
    <w:rsid w:val="00621DC3"/>
    <w:rsid w:val="00643BB5"/>
    <w:rsid w:val="00654B84"/>
    <w:rsid w:val="00664CB1"/>
    <w:rsid w:val="00673325"/>
    <w:rsid w:val="00673571"/>
    <w:rsid w:val="0067443B"/>
    <w:rsid w:val="00675D3D"/>
    <w:rsid w:val="006761C3"/>
    <w:rsid w:val="00676B01"/>
    <w:rsid w:val="006852A9"/>
    <w:rsid w:val="00692796"/>
    <w:rsid w:val="006A7FBA"/>
    <w:rsid w:val="006B60F4"/>
    <w:rsid w:val="006B6414"/>
    <w:rsid w:val="006C0C89"/>
    <w:rsid w:val="006E6084"/>
    <w:rsid w:val="006F1938"/>
    <w:rsid w:val="006F6E18"/>
    <w:rsid w:val="006F7DC3"/>
    <w:rsid w:val="007064A2"/>
    <w:rsid w:val="007531A5"/>
    <w:rsid w:val="0076254A"/>
    <w:rsid w:val="0076374E"/>
    <w:rsid w:val="00764762"/>
    <w:rsid w:val="00784134"/>
    <w:rsid w:val="0079242B"/>
    <w:rsid w:val="0079722B"/>
    <w:rsid w:val="007C2D40"/>
    <w:rsid w:val="007D60B5"/>
    <w:rsid w:val="007E3727"/>
    <w:rsid w:val="007E5256"/>
    <w:rsid w:val="007E568E"/>
    <w:rsid w:val="007F1CFE"/>
    <w:rsid w:val="008133CA"/>
    <w:rsid w:val="00817654"/>
    <w:rsid w:val="00831914"/>
    <w:rsid w:val="00843A2E"/>
    <w:rsid w:val="00846283"/>
    <w:rsid w:val="00855054"/>
    <w:rsid w:val="00875325"/>
    <w:rsid w:val="00875C49"/>
    <w:rsid w:val="00883702"/>
    <w:rsid w:val="00892C8F"/>
    <w:rsid w:val="008C1BFA"/>
    <w:rsid w:val="008D2B5E"/>
    <w:rsid w:val="00904504"/>
    <w:rsid w:val="00907084"/>
    <w:rsid w:val="00907DB2"/>
    <w:rsid w:val="0092551A"/>
    <w:rsid w:val="009346A2"/>
    <w:rsid w:val="0097056A"/>
    <w:rsid w:val="00977FBE"/>
    <w:rsid w:val="009869B1"/>
    <w:rsid w:val="009B574F"/>
    <w:rsid w:val="009C54AF"/>
    <w:rsid w:val="009E7E2C"/>
    <w:rsid w:val="009F66B9"/>
    <w:rsid w:val="00A0100B"/>
    <w:rsid w:val="00A217DE"/>
    <w:rsid w:val="00A334BC"/>
    <w:rsid w:val="00A4694C"/>
    <w:rsid w:val="00A7625B"/>
    <w:rsid w:val="00A819C2"/>
    <w:rsid w:val="00AA64F9"/>
    <w:rsid w:val="00AB137D"/>
    <w:rsid w:val="00AF1F75"/>
    <w:rsid w:val="00AF705B"/>
    <w:rsid w:val="00B33F5D"/>
    <w:rsid w:val="00B431B7"/>
    <w:rsid w:val="00B43C9F"/>
    <w:rsid w:val="00B51A51"/>
    <w:rsid w:val="00B64C99"/>
    <w:rsid w:val="00B737EE"/>
    <w:rsid w:val="00B7518E"/>
    <w:rsid w:val="00B82A13"/>
    <w:rsid w:val="00B83445"/>
    <w:rsid w:val="00B9698D"/>
    <w:rsid w:val="00BB4A5B"/>
    <w:rsid w:val="00C1187B"/>
    <w:rsid w:val="00C11EBF"/>
    <w:rsid w:val="00C143C1"/>
    <w:rsid w:val="00C2061C"/>
    <w:rsid w:val="00C32A6D"/>
    <w:rsid w:val="00C33F78"/>
    <w:rsid w:val="00C36E02"/>
    <w:rsid w:val="00C51CE9"/>
    <w:rsid w:val="00C52D55"/>
    <w:rsid w:val="00C641CF"/>
    <w:rsid w:val="00C67B31"/>
    <w:rsid w:val="00C74EAF"/>
    <w:rsid w:val="00C9259F"/>
    <w:rsid w:val="00CB3ACD"/>
    <w:rsid w:val="00CB3BD8"/>
    <w:rsid w:val="00CD14DA"/>
    <w:rsid w:val="00CD489D"/>
    <w:rsid w:val="00CF50F8"/>
    <w:rsid w:val="00D01BD5"/>
    <w:rsid w:val="00D14562"/>
    <w:rsid w:val="00D3312A"/>
    <w:rsid w:val="00D3745A"/>
    <w:rsid w:val="00D41F36"/>
    <w:rsid w:val="00D4222A"/>
    <w:rsid w:val="00D52A66"/>
    <w:rsid w:val="00D55DB2"/>
    <w:rsid w:val="00D605C5"/>
    <w:rsid w:val="00D70C2D"/>
    <w:rsid w:val="00D84BC5"/>
    <w:rsid w:val="00D94285"/>
    <w:rsid w:val="00DB0451"/>
    <w:rsid w:val="00DB1362"/>
    <w:rsid w:val="00DB675B"/>
    <w:rsid w:val="00DE06A8"/>
    <w:rsid w:val="00DE278A"/>
    <w:rsid w:val="00DF3810"/>
    <w:rsid w:val="00E00C3F"/>
    <w:rsid w:val="00E34A7E"/>
    <w:rsid w:val="00E37897"/>
    <w:rsid w:val="00E449F9"/>
    <w:rsid w:val="00E533C1"/>
    <w:rsid w:val="00E85409"/>
    <w:rsid w:val="00E91554"/>
    <w:rsid w:val="00E91811"/>
    <w:rsid w:val="00EA4752"/>
    <w:rsid w:val="00EA7C4A"/>
    <w:rsid w:val="00EB087B"/>
    <w:rsid w:val="00ED27DE"/>
    <w:rsid w:val="00EE2386"/>
    <w:rsid w:val="00EE490B"/>
    <w:rsid w:val="00F06348"/>
    <w:rsid w:val="00F449C1"/>
    <w:rsid w:val="00F532A6"/>
    <w:rsid w:val="00F55DF9"/>
    <w:rsid w:val="00F66CB3"/>
    <w:rsid w:val="00F71FD9"/>
    <w:rsid w:val="00F73468"/>
    <w:rsid w:val="00F8199F"/>
    <w:rsid w:val="00F918BE"/>
    <w:rsid w:val="00F93BE2"/>
    <w:rsid w:val="00F958DC"/>
    <w:rsid w:val="00FA29B1"/>
    <w:rsid w:val="00FC768D"/>
    <w:rsid w:val="00FD08AB"/>
    <w:rsid w:val="00FE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D36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36C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5D36C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5D36CE"/>
    <w:pPr>
      <w:ind w:firstLine="600"/>
      <w:jc w:val="both"/>
    </w:pPr>
    <w:rPr>
      <w:rFonts w:ascii="Arial" w:eastAsia="Calibri" w:hAnsi="Arial"/>
      <w:sz w:val="26"/>
      <w:szCs w:val="20"/>
      <w:lang w:eastAsia="ru-RU"/>
    </w:rPr>
  </w:style>
  <w:style w:type="character" w:customStyle="1" w:styleId="31">
    <w:name w:val="Основной текст (3)_"/>
    <w:link w:val="32"/>
    <w:locked/>
    <w:rsid w:val="00F93BE2"/>
    <w:rPr>
      <w:spacing w:val="3"/>
      <w:sz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3BE2"/>
    <w:pPr>
      <w:widowControl w:val="0"/>
      <w:shd w:val="clear" w:color="auto" w:fill="FFFFFF"/>
      <w:spacing w:before="60" w:line="274" w:lineRule="exact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B5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No Spacing"/>
    <w:uiPriority w:val="1"/>
    <w:qFormat/>
    <w:rsid w:val="00FE6A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34A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67B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67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9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63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10652</Words>
  <Characters>6073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Вася</dc:creator>
  <cp:lastModifiedBy>Админ1</cp:lastModifiedBy>
  <cp:revision>154</cp:revision>
  <cp:lastPrinted>2023-04-05T09:42:00Z</cp:lastPrinted>
  <dcterms:created xsi:type="dcterms:W3CDTF">2023-04-04T07:41:00Z</dcterms:created>
  <dcterms:modified xsi:type="dcterms:W3CDTF">2023-04-05T13:44:00Z</dcterms:modified>
</cp:coreProperties>
</file>